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5EEA" w14:textId="77777777" w:rsidR="00D3444B" w:rsidRPr="00A24793" w:rsidRDefault="00A24793" w:rsidP="00B82940">
      <w:pPr>
        <w:pStyle w:val="a3"/>
        <w:jc w:val="center"/>
        <w:rPr>
          <w:lang w:val="en-US"/>
        </w:rPr>
      </w:pPr>
      <w:bookmarkStart w:id="0" w:name="_GoBack"/>
      <w:r w:rsidRPr="00B82940">
        <w:rPr>
          <w:lang w:val="en-US"/>
        </w:rPr>
        <w:t>Corporate action notice/Insider information disclosure</w:t>
      </w:r>
    </w:p>
    <w:p w14:paraId="7DB63B2E" w14:textId="77777777" w:rsidR="00D3444B" w:rsidRPr="00A24793" w:rsidRDefault="00A24793" w:rsidP="00B82940">
      <w:pPr>
        <w:pStyle w:val="a3"/>
        <w:jc w:val="center"/>
        <w:rPr>
          <w:lang w:val="en-US"/>
        </w:rPr>
      </w:pPr>
      <w:r w:rsidRPr="00B82940">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7"/>
        <w:gridCol w:w="1013"/>
        <w:gridCol w:w="1287"/>
        <w:gridCol w:w="1269"/>
        <w:gridCol w:w="756"/>
        <w:gridCol w:w="1414"/>
        <w:gridCol w:w="2804"/>
      </w:tblGrid>
      <w:tr w:rsidR="00E908D3" w14:paraId="2486B08E" w14:textId="77777777" w:rsidTr="00B82940">
        <w:trPr>
          <w:trHeight w:val="20"/>
        </w:trPr>
        <w:tc>
          <w:tcPr>
            <w:tcW w:w="5000" w:type="pct"/>
            <w:gridSpan w:val="7"/>
          </w:tcPr>
          <w:p w14:paraId="53093D6F" w14:textId="77777777" w:rsidR="00D3444B" w:rsidRPr="00B82940" w:rsidRDefault="00A24793" w:rsidP="00F234FC">
            <w:pPr>
              <w:pStyle w:val="TableParagraph"/>
              <w:ind w:left="0"/>
              <w:jc w:val="center"/>
              <w:rPr>
                <w:sz w:val="24"/>
              </w:rPr>
            </w:pPr>
            <w:r w:rsidRPr="00B82940">
              <w:rPr>
                <w:sz w:val="24"/>
                <w:lang w:val="en-US"/>
              </w:rPr>
              <w:t>1. General</w:t>
            </w:r>
          </w:p>
        </w:tc>
      </w:tr>
      <w:tr w:rsidR="00E908D3" w:rsidRPr="00A24793" w14:paraId="4CC4E43E" w14:textId="77777777" w:rsidTr="00B82940">
        <w:trPr>
          <w:trHeight w:val="20"/>
        </w:trPr>
        <w:tc>
          <w:tcPr>
            <w:tcW w:w="2426" w:type="pct"/>
            <w:gridSpan w:val="4"/>
          </w:tcPr>
          <w:p w14:paraId="5E2FFA45" w14:textId="77777777" w:rsidR="00D3444B" w:rsidRPr="00A24793" w:rsidRDefault="00A24793" w:rsidP="00B82940">
            <w:pPr>
              <w:pStyle w:val="TableParagraph"/>
              <w:tabs>
                <w:tab w:val="left" w:pos="1631"/>
                <w:tab w:val="left" w:pos="3051"/>
              </w:tabs>
              <w:ind w:left="0"/>
              <w:rPr>
                <w:sz w:val="24"/>
                <w:lang w:val="en-US"/>
              </w:rPr>
            </w:pPr>
            <w:r w:rsidRPr="00B82940">
              <w:rPr>
                <w:sz w:val="24"/>
                <w:lang w:val="en-US"/>
              </w:rPr>
              <w:t>1.1. Full corporate name of the Issuer:</w:t>
            </w:r>
          </w:p>
        </w:tc>
        <w:tc>
          <w:tcPr>
            <w:tcW w:w="2574" w:type="pct"/>
            <w:gridSpan w:val="3"/>
          </w:tcPr>
          <w:p w14:paraId="71A11C3A" w14:textId="77777777" w:rsidR="00D3444B" w:rsidRPr="00A24793" w:rsidRDefault="00A24793" w:rsidP="00B82940">
            <w:pPr>
              <w:pStyle w:val="TableParagraph"/>
              <w:tabs>
                <w:tab w:val="left" w:pos="1871"/>
                <w:tab w:val="left" w:pos="3770"/>
              </w:tabs>
              <w:ind w:left="0"/>
              <w:rPr>
                <w:b/>
                <w:sz w:val="24"/>
                <w:lang w:val="en-US"/>
              </w:rPr>
            </w:pPr>
            <w:r w:rsidRPr="00B82940">
              <w:rPr>
                <w:b/>
                <w:sz w:val="24"/>
                <w:lang w:val="en-US"/>
              </w:rPr>
              <w:t xml:space="preserve">Public Joint Stock Company "Interregional </w:t>
            </w:r>
            <w:r w:rsidRPr="00B82940">
              <w:rPr>
                <w:b/>
                <w:sz w:val="24"/>
                <w:lang w:val="en-US"/>
              </w:rPr>
              <w:t>Distribution Grid Company of the South”</w:t>
            </w:r>
          </w:p>
        </w:tc>
      </w:tr>
      <w:tr w:rsidR="00E908D3" w:rsidRPr="00A24793" w14:paraId="7E4F60D2" w14:textId="77777777" w:rsidTr="00B82940">
        <w:trPr>
          <w:trHeight w:val="20"/>
        </w:trPr>
        <w:tc>
          <w:tcPr>
            <w:tcW w:w="2426" w:type="pct"/>
            <w:gridSpan w:val="4"/>
          </w:tcPr>
          <w:p w14:paraId="3874EC13" w14:textId="77777777" w:rsidR="00D3444B" w:rsidRPr="00A24793" w:rsidRDefault="00A24793" w:rsidP="00B82940">
            <w:pPr>
              <w:pStyle w:val="TableParagraph"/>
              <w:tabs>
                <w:tab w:val="left" w:pos="3363"/>
              </w:tabs>
              <w:ind w:left="0"/>
              <w:rPr>
                <w:sz w:val="24"/>
                <w:lang w:val="en-US"/>
              </w:rPr>
            </w:pPr>
            <w:r w:rsidRPr="00B82940">
              <w:rPr>
                <w:sz w:val="24"/>
                <w:lang w:val="en-US"/>
              </w:rPr>
              <w:t>1.2. Abbreviated corporate name of the Issuer:</w:t>
            </w:r>
          </w:p>
        </w:tc>
        <w:tc>
          <w:tcPr>
            <w:tcW w:w="2574" w:type="pct"/>
            <w:gridSpan w:val="3"/>
          </w:tcPr>
          <w:p w14:paraId="78916EAA" w14:textId="77777777" w:rsidR="00D3444B" w:rsidRPr="00A24793" w:rsidRDefault="00A24793" w:rsidP="00B82940">
            <w:pPr>
              <w:pStyle w:val="TableParagraph"/>
              <w:ind w:left="0"/>
              <w:rPr>
                <w:b/>
                <w:sz w:val="24"/>
                <w:lang w:val="en-US"/>
              </w:rPr>
            </w:pPr>
            <w:r w:rsidRPr="00B82940">
              <w:rPr>
                <w:b/>
                <w:sz w:val="24"/>
                <w:lang w:val="en-US"/>
              </w:rPr>
              <w:t>IDGC of the South, PJSC</w:t>
            </w:r>
          </w:p>
        </w:tc>
      </w:tr>
      <w:tr w:rsidR="00E908D3" w:rsidRPr="00A24793" w14:paraId="01069C36" w14:textId="77777777" w:rsidTr="00B82940">
        <w:trPr>
          <w:trHeight w:val="20"/>
        </w:trPr>
        <w:tc>
          <w:tcPr>
            <w:tcW w:w="2426" w:type="pct"/>
            <w:gridSpan w:val="4"/>
          </w:tcPr>
          <w:p w14:paraId="46425C3D" w14:textId="77777777" w:rsidR="00D3444B" w:rsidRPr="00B82940" w:rsidRDefault="00A24793" w:rsidP="00B82940">
            <w:pPr>
              <w:pStyle w:val="TableParagraph"/>
              <w:ind w:left="0"/>
              <w:rPr>
                <w:sz w:val="24"/>
              </w:rPr>
            </w:pPr>
            <w:r w:rsidRPr="00B82940">
              <w:rPr>
                <w:sz w:val="24"/>
                <w:lang w:val="en-US"/>
              </w:rPr>
              <w:t>1.3. Location of the Issuer:</w:t>
            </w:r>
          </w:p>
        </w:tc>
        <w:tc>
          <w:tcPr>
            <w:tcW w:w="2574" w:type="pct"/>
            <w:gridSpan w:val="3"/>
          </w:tcPr>
          <w:p w14:paraId="7AD9650D" w14:textId="77777777" w:rsidR="00D3444B" w:rsidRPr="00A24793" w:rsidRDefault="00A24793" w:rsidP="00B82940">
            <w:pPr>
              <w:pStyle w:val="TableParagraph"/>
              <w:ind w:left="0"/>
              <w:rPr>
                <w:b/>
                <w:sz w:val="24"/>
                <w:lang w:val="en-US"/>
              </w:rPr>
            </w:pPr>
            <w:r w:rsidRPr="00B82940">
              <w:rPr>
                <w:b/>
                <w:sz w:val="24"/>
                <w:lang w:val="en-US"/>
              </w:rPr>
              <w:t>Rostov-on-Don, Russian Federation</w:t>
            </w:r>
          </w:p>
        </w:tc>
      </w:tr>
      <w:tr w:rsidR="00E908D3" w14:paraId="70025DE1" w14:textId="77777777" w:rsidTr="00B82940">
        <w:trPr>
          <w:trHeight w:val="20"/>
        </w:trPr>
        <w:tc>
          <w:tcPr>
            <w:tcW w:w="2426" w:type="pct"/>
            <w:gridSpan w:val="4"/>
          </w:tcPr>
          <w:p w14:paraId="75A37A16" w14:textId="77777777" w:rsidR="00D3444B" w:rsidRPr="00B82940" w:rsidRDefault="00A24793" w:rsidP="00B82940">
            <w:pPr>
              <w:pStyle w:val="TableParagraph"/>
              <w:ind w:left="0"/>
              <w:rPr>
                <w:sz w:val="24"/>
              </w:rPr>
            </w:pPr>
            <w:r w:rsidRPr="00B82940">
              <w:rPr>
                <w:sz w:val="24"/>
                <w:lang w:val="en-US"/>
              </w:rPr>
              <w:t>1.4. OGRN of the Issuer:</w:t>
            </w:r>
          </w:p>
        </w:tc>
        <w:tc>
          <w:tcPr>
            <w:tcW w:w="2574" w:type="pct"/>
            <w:gridSpan w:val="3"/>
          </w:tcPr>
          <w:p w14:paraId="1B8FA039" w14:textId="77777777" w:rsidR="00D3444B" w:rsidRPr="00B82940" w:rsidRDefault="00A24793" w:rsidP="00B82940">
            <w:pPr>
              <w:pStyle w:val="TableParagraph"/>
              <w:ind w:left="0"/>
              <w:rPr>
                <w:b/>
                <w:sz w:val="24"/>
              </w:rPr>
            </w:pPr>
            <w:r w:rsidRPr="00B82940">
              <w:rPr>
                <w:b/>
                <w:sz w:val="24"/>
                <w:lang w:val="en-US"/>
              </w:rPr>
              <w:t>1076164009096</w:t>
            </w:r>
          </w:p>
        </w:tc>
      </w:tr>
      <w:tr w:rsidR="00E908D3" w14:paraId="275F4973" w14:textId="77777777" w:rsidTr="00B82940">
        <w:trPr>
          <w:trHeight w:val="20"/>
        </w:trPr>
        <w:tc>
          <w:tcPr>
            <w:tcW w:w="2426" w:type="pct"/>
            <w:gridSpan w:val="4"/>
          </w:tcPr>
          <w:p w14:paraId="25D88344" w14:textId="77777777" w:rsidR="00D3444B" w:rsidRPr="00B82940" w:rsidRDefault="00A24793" w:rsidP="00B82940">
            <w:pPr>
              <w:pStyle w:val="TableParagraph"/>
              <w:ind w:left="0"/>
              <w:rPr>
                <w:sz w:val="24"/>
              </w:rPr>
            </w:pPr>
            <w:r w:rsidRPr="00B82940">
              <w:rPr>
                <w:sz w:val="24"/>
                <w:lang w:val="en-US"/>
              </w:rPr>
              <w:t>1.5. TIN of the Issuer:</w:t>
            </w:r>
          </w:p>
        </w:tc>
        <w:tc>
          <w:tcPr>
            <w:tcW w:w="2574" w:type="pct"/>
            <w:gridSpan w:val="3"/>
          </w:tcPr>
          <w:p w14:paraId="7E308B5C" w14:textId="77777777" w:rsidR="00D3444B" w:rsidRPr="00B82940" w:rsidRDefault="00A24793" w:rsidP="00B82940">
            <w:pPr>
              <w:pStyle w:val="TableParagraph"/>
              <w:ind w:left="0"/>
              <w:rPr>
                <w:b/>
                <w:sz w:val="24"/>
              </w:rPr>
            </w:pPr>
            <w:r w:rsidRPr="00B82940">
              <w:rPr>
                <w:b/>
                <w:sz w:val="24"/>
                <w:lang w:val="en-US"/>
              </w:rPr>
              <w:t>6164266561</w:t>
            </w:r>
          </w:p>
        </w:tc>
      </w:tr>
      <w:tr w:rsidR="00E908D3" w14:paraId="687AECBC" w14:textId="77777777" w:rsidTr="00B82940">
        <w:trPr>
          <w:trHeight w:val="20"/>
        </w:trPr>
        <w:tc>
          <w:tcPr>
            <w:tcW w:w="2426" w:type="pct"/>
            <w:gridSpan w:val="4"/>
          </w:tcPr>
          <w:p w14:paraId="0D919287" w14:textId="77777777" w:rsidR="00D3444B" w:rsidRPr="00A24793" w:rsidRDefault="00A24793" w:rsidP="00B82940">
            <w:pPr>
              <w:pStyle w:val="TableParagraph"/>
              <w:tabs>
                <w:tab w:val="left" w:pos="2518"/>
                <w:tab w:val="left" w:pos="3511"/>
              </w:tabs>
              <w:ind w:left="0"/>
              <w:rPr>
                <w:sz w:val="24"/>
                <w:lang w:val="en-US"/>
              </w:rPr>
            </w:pPr>
            <w:r w:rsidRPr="00B82940">
              <w:rPr>
                <w:sz w:val="24"/>
                <w:lang w:val="en-US"/>
              </w:rPr>
              <w:t>1.6. Unique code of the Issuer, assigned by the registering authority:</w:t>
            </w:r>
          </w:p>
        </w:tc>
        <w:tc>
          <w:tcPr>
            <w:tcW w:w="2574" w:type="pct"/>
            <w:gridSpan w:val="3"/>
            <w:vAlign w:val="center"/>
          </w:tcPr>
          <w:p w14:paraId="24AEFF0A" w14:textId="77777777" w:rsidR="00D3444B" w:rsidRPr="00B82940" w:rsidRDefault="00A24793" w:rsidP="00B82940">
            <w:pPr>
              <w:pStyle w:val="TableParagraph"/>
              <w:ind w:left="0"/>
              <w:rPr>
                <w:b/>
                <w:sz w:val="24"/>
              </w:rPr>
            </w:pPr>
            <w:r w:rsidRPr="00B82940">
              <w:rPr>
                <w:b/>
                <w:sz w:val="24"/>
                <w:lang w:val="en-US"/>
              </w:rPr>
              <w:t>34956-Е</w:t>
            </w:r>
          </w:p>
        </w:tc>
      </w:tr>
      <w:tr w:rsidR="00E908D3" w:rsidRPr="00A24793" w14:paraId="1C007125" w14:textId="77777777" w:rsidTr="00B82940">
        <w:trPr>
          <w:trHeight w:val="20"/>
        </w:trPr>
        <w:tc>
          <w:tcPr>
            <w:tcW w:w="2426" w:type="pct"/>
            <w:gridSpan w:val="4"/>
          </w:tcPr>
          <w:p w14:paraId="4ED8DAC9" w14:textId="77777777" w:rsidR="00D3444B" w:rsidRPr="00A24793" w:rsidRDefault="00A24793" w:rsidP="00B82940">
            <w:pPr>
              <w:pStyle w:val="TableParagraph"/>
              <w:ind w:left="0"/>
              <w:rPr>
                <w:sz w:val="24"/>
                <w:lang w:val="en-US"/>
              </w:rPr>
            </w:pPr>
            <w:r w:rsidRPr="00B82940">
              <w:rPr>
                <w:sz w:val="24"/>
                <w:lang w:val="en-US"/>
              </w:rPr>
              <w:t>1.7. The address of the Internet page used by the Issuer for information disclosures</w:t>
            </w:r>
          </w:p>
        </w:tc>
        <w:tc>
          <w:tcPr>
            <w:tcW w:w="2574" w:type="pct"/>
            <w:gridSpan w:val="3"/>
            <w:vAlign w:val="center"/>
          </w:tcPr>
          <w:p w14:paraId="704E3FD6" w14:textId="77777777" w:rsidR="00B82940" w:rsidRPr="00A24793" w:rsidRDefault="00A24793" w:rsidP="00B82940">
            <w:pPr>
              <w:pStyle w:val="TableParagraph"/>
              <w:ind w:left="0"/>
              <w:rPr>
                <w:b/>
                <w:sz w:val="24"/>
                <w:lang w:val="en-US"/>
              </w:rPr>
            </w:pPr>
            <w:hyperlink r:id="rId7" w:history="1">
              <w:r w:rsidRPr="00B82940">
                <w:rPr>
                  <w:b/>
                  <w:sz w:val="24"/>
                  <w:u w:val="thick"/>
                  <w:lang w:val="en-US"/>
                </w:rPr>
                <w:t>http://www.mrsk-yuga.ru</w:t>
              </w:r>
            </w:hyperlink>
          </w:p>
          <w:p w14:paraId="04F3E763" w14:textId="77777777" w:rsidR="00D3444B" w:rsidRPr="00A24793" w:rsidRDefault="00A24793" w:rsidP="00B82940">
            <w:pPr>
              <w:pStyle w:val="TableParagraph"/>
              <w:ind w:left="0"/>
              <w:rPr>
                <w:b/>
                <w:sz w:val="24"/>
                <w:lang w:val="en-US"/>
              </w:rPr>
            </w:pPr>
            <w:hyperlink r:id="rId8" w:history="1">
              <w:r w:rsidRPr="00B82940">
                <w:rPr>
                  <w:b/>
                  <w:sz w:val="24"/>
                  <w:u w:val="thick"/>
                  <w:lang w:val="en-US"/>
                </w:rPr>
                <w:t>http://www.e-</w:t>
              </w:r>
            </w:hyperlink>
            <w:hyperlink r:id="rId9" w:history="1">
              <w:r w:rsidRPr="00B82940">
                <w:rPr>
                  <w:b/>
                  <w:sz w:val="24"/>
                  <w:u w:val="thick"/>
                  <w:lang w:val="en-US"/>
                </w:rPr>
                <w:t>disclosure.ru/portal/company.aspx?id=11999</w:t>
              </w:r>
            </w:hyperlink>
          </w:p>
        </w:tc>
      </w:tr>
      <w:tr w:rsidR="00E908D3" w14:paraId="712D00E2" w14:textId="77777777" w:rsidTr="00B82940">
        <w:trPr>
          <w:trHeight w:val="20"/>
        </w:trPr>
        <w:tc>
          <w:tcPr>
            <w:tcW w:w="2426" w:type="pct"/>
            <w:gridSpan w:val="4"/>
          </w:tcPr>
          <w:p w14:paraId="58016A69" w14:textId="77777777" w:rsidR="00D3444B" w:rsidRPr="00A24793" w:rsidRDefault="00A24793" w:rsidP="00B82940">
            <w:pPr>
              <w:pStyle w:val="TableParagraph"/>
              <w:tabs>
                <w:tab w:val="left" w:pos="978"/>
                <w:tab w:val="left" w:pos="1911"/>
                <w:tab w:val="left" w:pos="2129"/>
                <w:tab w:val="left" w:pos="3195"/>
                <w:tab w:val="left" w:pos="3652"/>
              </w:tabs>
              <w:ind w:left="0"/>
              <w:rPr>
                <w:sz w:val="24"/>
                <w:lang w:val="en-US"/>
              </w:rPr>
            </w:pPr>
            <w:r w:rsidRPr="00B82940">
              <w:rPr>
                <w:sz w:val="24"/>
                <w:lang w:val="en-US"/>
              </w:rPr>
              <w:t>1.8. Event effective date (m</w:t>
            </w:r>
            <w:r w:rsidRPr="00B82940">
              <w:rPr>
                <w:sz w:val="24"/>
                <w:lang w:val="en-US"/>
              </w:rPr>
              <w:t>aterial fact) of which the message is composed (if applicable):</w:t>
            </w:r>
          </w:p>
        </w:tc>
        <w:tc>
          <w:tcPr>
            <w:tcW w:w="2574" w:type="pct"/>
            <w:gridSpan w:val="3"/>
            <w:vAlign w:val="center"/>
          </w:tcPr>
          <w:p w14:paraId="495C3368" w14:textId="77777777" w:rsidR="00D3444B" w:rsidRPr="00B82940" w:rsidRDefault="00A24793" w:rsidP="00B82940">
            <w:pPr>
              <w:pStyle w:val="TableParagraph"/>
              <w:ind w:left="0"/>
              <w:rPr>
                <w:b/>
                <w:sz w:val="24"/>
              </w:rPr>
            </w:pPr>
            <w:r w:rsidRPr="00B82940">
              <w:rPr>
                <w:b/>
                <w:sz w:val="24"/>
                <w:lang w:val="en-US"/>
              </w:rPr>
              <w:t>November 15, 2019</w:t>
            </w:r>
          </w:p>
        </w:tc>
      </w:tr>
      <w:tr w:rsidR="00E908D3" w14:paraId="03853DD0" w14:textId="77777777" w:rsidTr="00B82940">
        <w:trPr>
          <w:trHeight w:val="20"/>
        </w:trPr>
        <w:tc>
          <w:tcPr>
            <w:tcW w:w="5000" w:type="pct"/>
            <w:gridSpan w:val="7"/>
          </w:tcPr>
          <w:p w14:paraId="6687D1B7" w14:textId="77777777" w:rsidR="00D3444B" w:rsidRPr="00B82940" w:rsidRDefault="00A24793" w:rsidP="00F234FC">
            <w:pPr>
              <w:pStyle w:val="TableParagraph"/>
              <w:ind w:left="0"/>
              <w:jc w:val="center"/>
              <w:rPr>
                <w:sz w:val="24"/>
              </w:rPr>
            </w:pPr>
            <w:r w:rsidRPr="00B82940">
              <w:rPr>
                <w:sz w:val="24"/>
                <w:lang w:val="en-US"/>
              </w:rPr>
              <w:t>2. Notice content</w:t>
            </w:r>
          </w:p>
        </w:tc>
      </w:tr>
      <w:tr w:rsidR="00E908D3" w14:paraId="01694FA5" w14:textId="77777777" w:rsidTr="00B82940">
        <w:trPr>
          <w:trHeight w:val="20"/>
        </w:trPr>
        <w:tc>
          <w:tcPr>
            <w:tcW w:w="5000" w:type="pct"/>
            <w:gridSpan w:val="7"/>
          </w:tcPr>
          <w:p w14:paraId="29A1105B" w14:textId="77777777" w:rsidR="00B82940" w:rsidRPr="00A24793" w:rsidRDefault="00A24793" w:rsidP="00B82940">
            <w:pPr>
              <w:pStyle w:val="TableParagraph"/>
              <w:ind w:left="0"/>
              <w:jc w:val="both"/>
              <w:rPr>
                <w:b/>
                <w:i/>
                <w:sz w:val="24"/>
                <w:lang w:val="en-US"/>
              </w:rPr>
            </w:pPr>
            <w:r w:rsidRPr="00B82940">
              <w:rPr>
                <w:sz w:val="24"/>
                <w:lang w:val="en-US"/>
              </w:rPr>
              <w:t xml:space="preserve">2.1. Quorum for a meeting of the Issuer's Board of Directors and the results of voting on decision-making issues: </w:t>
            </w:r>
            <w:r w:rsidRPr="00B82940">
              <w:rPr>
                <w:b/>
                <w:i/>
                <w:sz w:val="24"/>
                <w:lang w:val="en-US"/>
              </w:rPr>
              <w:t>11 out of 11 members of the Board of Directors participated in the meeting, a quorum is present.</w:t>
            </w:r>
          </w:p>
          <w:p w14:paraId="22FD4AF4" w14:textId="77777777" w:rsidR="00B82940" w:rsidRPr="00A24793" w:rsidRDefault="00A24793" w:rsidP="00B82940">
            <w:pPr>
              <w:pStyle w:val="TableParagraph"/>
              <w:ind w:left="0"/>
              <w:jc w:val="both"/>
              <w:rPr>
                <w:sz w:val="24"/>
                <w:lang w:val="en-US"/>
              </w:rPr>
            </w:pPr>
            <w:r w:rsidRPr="00B82940">
              <w:rPr>
                <w:sz w:val="24"/>
                <w:lang w:val="en-US"/>
              </w:rPr>
              <w:t xml:space="preserve">Voting results </w:t>
            </w:r>
            <w:r w:rsidRPr="00B82940">
              <w:rPr>
                <w:b/>
                <w:sz w:val="24"/>
                <w:lang w:val="en-US"/>
              </w:rPr>
              <w:t>on issue No. 1</w:t>
            </w:r>
            <w:r w:rsidRPr="00B82940">
              <w:rPr>
                <w:sz w:val="24"/>
                <w:lang w:val="en-US"/>
              </w:rPr>
              <w:t xml:space="preserve"> of the agenda:</w:t>
            </w:r>
          </w:p>
          <w:p w14:paraId="6A312896" w14:textId="77777777" w:rsidR="00B82940" w:rsidRPr="00A24793" w:rsidRDefault="00A24793" w:rsidP="00B82940">
            <w:pPr>
              <w:pStyle w:val="TableParagraph"/>
              <w:ind w:left="0"/>
              <w:jc w:val="both"/>
              <w:rPr>
                <w:sz w:val="24"/>
                <w:lang w:val="en-US"/>
              </w:rPr>
            </w:pPr>
            <w:r w:rsidRPr="00B82940">
              <w:rPr>
                <w:sz w:val="24"/>
                <w:lang w:val="en-US"/>
              </w:rPr>
              <w:t>"PRO" is 9 votes;</w:t>
            </w:r>
          </w:p>
          <w:p w14:paraId="7AEEFA4D" w14:textId="77777777" w:rsidR="00B82940" w:rsidRPr="00A24793" w:rsidRDefault="00A24793" w:rsidP="00B82940">
            <w:pPr>
              <w:pStyle w:val="TableParagraph"/>
              <w:ind w:left="0"/>
              <w:jc w:val="both"/>
              <w:rPr>
                <w:sz w:val="24"/>
                <w:lang w:val="en-US"/>
              </w:rPr>
            </w:pPr>
            <w:r w:rsidRPr="00B82940">
              <w:rPr>
                <w:sz w:val="24"/>
                <w:lang w:val="en-US"/>
              </w:rPr>
              <w:t>"CON" is 1 vote;</w:t>
            </w:r>
          </w:p>
          <w:p w14:paraId="3D0546D2" w14:textId="77777777" w:rsidR="00B82940" w:rsidRPr="00A24793" w:rsidRDefault="00A24793" w:rsidP="00B82940">
            <w:pPr>
              <w:pStyle w:val="TableParagraph"/>
              <w:ind w:left="0"/>
              <w:jc w:val="both"/>
              <w:rPr>
                <w:sz w:val="24"/>
                <w:lang w:val="en-US"/>
              </w:rPr>
            </w:pPr>
            <w:r w:rsidRPr="00B82940">
              <w:rPr>
                <w:sz w:val="24"/>
                <w:lang w:val="en-US"/>
              </w:rPr>
              <w:t>"ABSTAIN" is 1 vote.</w:t>
            </w:r>
          </w:p>
          <w:p w14:paraId="0E7AC108" w14:textId="77777777" w:rsidR="00B82940" w:rsidRPr="00A24793" w:rsidRDefault="00A24793" w:rsidP="00B82940">
            <w:pPr>
              <w:pStyle w:val="TableParagraph"/>
              <w:ind w:left="0"/>
              <w:jc w:val="both"/>
              <w:rPr>
                <w:b/>
                <w:sz w:val="23"/>
                <w:lang w:val="en-US"/>
              </w:rPr>
            </w:pPr>
          </w:p>
          <w:p w14:paraId="164C021C" w14:textId="77777777" w:rsidR="00B82940" w:rsidRPr="00A24793" w:rsidRDefault="00A24793" w:rsidP="00B82940">
            <w:pPr>
              <w:pStyle w:val="TableParagraph"/>
              <w:ind w:left="0"/>
              <w:jc w:val="both"/>
              <w:rPr>
                <w:sz w:val="24"/>
                <w:lang w:val="en-US"/>
              </w:rPr>
            </w:pPr>
            <w:r w:rsidRPr="00B82940">
              <w:rPr>
                <w:sz w:val="24"/>
                <w:lang w:val="en-US"/>
              </w:rPr>
              <w:t xml:space="preserve">Voting results </w:t>
            </w:r>
            <w:r w:rsidRPr="00B82940">
              <w:rPr>
                <w:b/>
                <w:sz w:val="24"/>
                <w:lang w:val="en-US"/>
              </w:rPr>
              <w:t>on issue No. 2</w:t>
            </w:r>
            <w:r w:rsidRPr="00B82940">
              <w:rPr>
                <w:sz w:val="24"/>
                <w:lang w:val="en-US"/>
              </w:rPr>
              <w:t xml:space="preserve"> of the agenda:</w:t>
            </w:r>
          </w:p>
          <w:p w14:paraId="7CF9BA78" w14:textId="77777777" w:rsidR="00B82940" w:rsidRPr="00A24793" w:rsidRDefault="00A24793" w:rsidP="00B82940">
            <w:pPr>
              <w:pStyle w:val="TableParagraph"/>
              <w:ind w:left="0"/>
              <w:jc w:val="both"/>
              <w:rPr>
                <w:sz w:val="24"/>
                <w:lang w:val="en-US"/>
              </w:rPr>
            </w:pPr>
            <w:r w:rsidRPr="00B82940">
              <w:rPr>
                <w:sz w:val="24"/>
                <w:lang w:val="en-US"/>
              </w:rPr>
              <w:t>"PRO" is 8 votes;</w:t>
            </w:r>
          </w:p>
          <w:p w14:paraId="137386AE" w14:textId="77777777" w:rsidR="00B82940" w:rsidRPr="00A24793" w:rsidRDefault="00A24793" w:rsidP="00B82940">
            <w:pPr>
              <w:pStyle w:val="TableParagraph"/>
              <w:ind w:left="0"/>
              <w:jc w:val="both"/>
              <w:rPr>
                <w:sz w:val="24"/>
                <w:lang w:val="en-US"/>
              </w:rPr>
            </w:pPr>
            <w:r w:rsidRPr="00B82940">
              <w:rPr>
                <w:sz w:val="24"/>
                <w:lang w:val="en-US"/>
              </w:rPr>
              <w:t>"CON" is 1 vote;</w:t>
            </w:r>
          </w:p>
          <w:p w14:paraId="52028911" w14:textId="77777777" w:rsidR="00B82940" w:rsidRPr="00A24793" w:rsidRDefault="00A24793" w:rsidP="00B82940">
            <w:pPr>
              <w:pStyle w:val="TableParagraph"/>
              <w:ind w:left="0"/>
              <w:jc w:val="both"/>
              <w:rPr>
                <w:sz w:val="24"/>
                <w:lang w:val="en-US"/>
              </w:rPr>
            </w:pPr>
            <w:r w:rsidRPr="00B82940">
              <w:rPr>
                <w:sz w:val="24"/>
                <w:lang w:val="en-US"/>
              </w:rPr>
              <w:t>"ABSTAIN" is 2 votes.</w:t>
            </w:r>
          </w:p>
          <w:p w14:paraId="4651326F" w14:textId="77777777" w:rsidR="00B82940" w:rsidRPr="00A24793" w:rsidRDefault="00A24793" w:rsidP="00B82940">
            <w:pPr>
              <w:pStyle w:val="TableParagraph"/>
              <w:ind w:left="0"/>
              <w:jc w:val="both"/>
              <w:rPr>
                <w:b/>
                <w:sz w:val="24"/>
                <w:lang w:val="en-US"/>
              </w:rPr>
            </w:pPr>
          </w:p>
          <w:p w14:paraId="34089D53" w14:textId="77777777" w:rsidR="00B82940" w:rsidRPr="00A24793" w:rsidRDefault="00A24793" w:rsidP="00B82940">
            <w:pPr>
              <w:pStyle w:val="TableParagraph"/>
              <w:ind w:left="0"/>
              <w:jc w:val="both"/>
              <w:rPr>
                <w:sz w:val="24"/>
                <w:lang w:val="en-US"/>
              </w:rPr>
            </w:pPr>
            <w:r w:rsidRPr="00B82940">
              <w:rPr>
                <w:sz w:val="24"/>
                <w:lang w:val="en-US"/>
              </w:rPr>
              <w:t xml:space="preserve">Voting results </w:t>
            </w:r>
            <w:r w:rsidRPr="00B82940">
              <w:rPr>
                <w:b/>
                <w:sz w:val="24"/>
                <w:lang w:val="en-US"/>
              </w:rPr>
              <w:t>on issue No. 3</w:t>
            </w:r>
            <w:r w:rsidRPr="00B82940">
              <w:rPr>
                <w:sz w:val="24"/>
                <w:lang w:val="en-US"/>
              </w:rPr>
              <w:t xml:space="preserve"> of the agenda:</w:t>
            </w:r>
          </w:p>
          <w:p w14:paraId="49883A31" w14:textId="77777777" w:rsidR="00B82940" w:rsidRPr="00A24793" w:rsidRDefault="00A24793" w:rsidP="00B82940">
            <w:pPr>
              <w:pStyle w:val="TableParagraph"/>
              <w:ind w:left="0"/>
              <w:jc w:val="both"/>
              <w:rPr>
                <w:sz w:val="24"/>
                <w:lang w:val="en-US"/>
              </w:rPr>
            </w:pPr>
            <w:r w:rsidRPr="00B82940">
              <w:rPr>
                <w:sz w:val="24"/>
                <w:lang w:val="en-US"/>
              </w:rPr>
              <w:t>"PRO" is 11 votes;</w:t>
            </w:r>
          </w:p>
          <w:p w14:paraId="0A2D36C1" w14:textId="77777777" w:rsidR="00B82940" w:rsidRPr="00A24793" w:rsidRDefault="00A24793" w:rsidP="00B82940">
            <w:pPr>
              <w:pStyle w:val="TableParagraph"/>
              <w:ind w:left="0"/>
              <w:jc w:val="both"/>
              <w:rPr>
                <w:sz w:val="24"/>
                <w:lang w:val="en-US"/>
              </w:rPr>
            </w:pPr>
            <w:r w:rsidRPr="00B82940">
              <w:rPr>
                <w:sz w:val="24"/>
                <w:lang w:val="en-US"/>
              </w:rPr>
              <w:t>"CON" is 0 votes</w:t>
            </w:r>
            <w:r w:rsidRPr="00B82940">
              <w:rPr>
                <w:sz w:val="24"/>
                <w:lang w:val="en-US"/>
              </w:rPr>
              <w:t>;</w:t>
            </w:r>
          </w:p>
          <w:p w14:paraId="039A527F" w14:textId="77777777" w:rsidR="00B82940" w:rsidRPr="00A24793" w:rsidRDefault="00A24793" w:rsidP="00B82940">
            <w:pPr>
              <w:pStyle w:val="TableParagraph"/>
              <w:ind w:left="0"/>
              <w:jc w:val="both"/>
              <w:rPr>
                <w:sz w:val="24"/>
                <w:lang w:val="en-US"/>
              </w:rPr>
            </w:pPr>
            <w:r w:rsidRPr="00B82940">
              <w:rPr>
                <w:sz w:val="24"/>
                <w:lang w:val="en-US"/>
              </w:rPr>
              <w:t>"ABSTAIN" is 0 votes.</w:t>
            </w:r>
          </w:p>
          <w:p w14:paraId="525B9772" w14:textId="77777777" w:rsidR="00B82940" w:rsidRPr="00A24793" w:rsidRDefault="00A24793" w:rsidP="00B82940">
            <w:pPr>
              <w:pStyle w:val="TableParagraph"/>
              <w:ind w:left="0"/>
              <w:jc w:val="both"/>
              <w:rPr>
                <w:b/>
                <w:sz w:val="24"/>
                <w:lang w:val="en-US"/>
              </w:rPr>
            </w:pPr>
          </w:p>
          <w:p w14:paraId="1ECDCAEE" w14:textId="77777777" w:rsidR="00B82940" w:rsidRPr="00A24793" w:rsidRDefault="00A24793" w:rsidP="00B82940">
            <w:pPr>
              <w:pStyle w:val="TableParagraph"/>
              <w:ind w:left="0"/>
              <w:jc w:val="both"/>
              <w:rPr>
                <w:sz w:val="24"/>
                <w:lang w:val="en-US"/>
              </w:rPr>
            </w:pPr>
            <w:r w:rsidRPr="00B82940">
              <w:rPr>
                <w:sz w:val="24"/>
                <w:lang w:val="en-US"/>
              </w:rPr>
              <w:t xml:space="preserve">Voting results </w:t>
            </w:r>
            <w:r w:rsidRPr="00B82940">
              <w:rPr>
                <w:b/>
                <w:sz w:val="24"/>
                <w:lang w:val="en-US"/>
              </w:rPr>
              <w:t>on issue No. 4</w:t>
            </w:r>
            <w:r w:rsidRPr="00B82940">
              <w:rPr>
                <w:sz w:val="24"/>
                <w:lang w:val="en-US"/>
              </w:rPr>
              <w:t xml:space="preserve"> of the agenda:</w:t>
            </w:r>
          </w:p>
          <w:p w14:paraId="57EED01F" w14:textId="77777777" w:rsidR="00B82940" w:rsidRPr="00A24793" w:rsidRDefault="00A24793" w:rsidP="00B82940">
            <w:pPr>
              <w:pStyle w:val="TableParagraph"/>
              <w:ind w:left="0"/>
              <w:jc w:val="both"/>
              <w:rPr>
                <w:sz w:val="24"/>
                <w:lang w:val="en-US"/>
              </w:rPr>
            </w:pPr>
            <w:r w:rsidRPr="00B82940">
              <w:rPr>
                <w:sz w:val="24"/>
                <w:lang w:val="en-US"/>
              </w:rPr>
              <w:t>"PRO" is 10 votes;</w:t>
            </w:r>
          </w:p>
          <w:p w14:paraId="7FB30FEC" w14:textId="77777777" w:rsidR="00B82940" w:rsidRPr="00A24793" w:rsidRDefault="00A24793" w:rsidP="00B82940">
            <w:pPr>
              <w:pStyle w:val="TableParagraph"/>
              <w:ind w:left="0"/>
              <w:jc w:val="both"/>
              <w:rPr>
                <w:sz w:val="24"/>
                <w:lang w:val="en-US"/>
              </w:rPr>
            </w:pPr>
            <w:r w:rsidRPr="00B82940">
              <w:rPr>
                <w:sz w:val="24"/>
                <w:lang w:val="en-US"/>
              </w:rPr>
              <w:t>"CON" is 0 votes;</w:t>
            </w:r>
          </w:p>
          <w:p w14:paraId="1376C8B3" w14:textId="77777777" w:rsidR="00B82940" w:rsidRPr="00B82940" w:rsidRDefault="00A24793" w:rsidP="00B82940">
            <w:pPr>
              <w:pStyle w:val="TableParagraph"/>
              <w:ind w:left="0"/>
              <w:jc w:val="both"/>
              <w:rPr>
                <w:sz w:val="24"/>
              </w:rPr>
            </w:pPr>
            <w:r w:rsidRPr="00B82940">
              <w:rPr>
                <w:sz w:val="24"/>
                <w:lang w:val="en-US"/>
              </w:rPr>
              <w:t>"ABSTAIN" is 1 vote.</w:t>
            </w:r>
          </w:p>
          <w:p w14:paraId="4EFE2729" w14:textId="77777777" w:rsidR="00B82940" w:rsidRPr="00B82940" w:rsidRDefault="00A24793" w:rsidP="00B82940">
            <w:pPr>
              <w:pStyle w:val="TableParagraph"/>
              <w:ind w:left="0"/>
              <w:jc w:val="both"/>
              <w:rPr>
                <w:b/>
                <w:sz w:val="24"/>
              </w:rPr>
            </w:pPr>
          </w:p>
          <w:p w14:paraId="07312936"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5</w:t>
            </w:r>
            <w:r w:rsidRPr="00B82940">
              <w:rPr>
                <w:sz w:val="24"/>
                <w:lang w:val="en-US"/>
              </w:rPr>
              <w:t xml:space="preserve"> of the agenda:</w:t>
            </w:r>
          </w:p>
          <w:p w14:paraId="0406C3E1" w14:textId="77777777" w:rsidR="00B82940" w:rsidRPr="00B82940" w:rsidRDefault="00A24793" w:rsidP="00B82940">
            <w:pPr>
              <w:pStyle w:val="TableParagraph"/>
              <w:ind w:left="0"/>
              <w:jc w:val="both"/>
              <w:rPr>
                <w:sz w:val="24"/>
              </w:rPr>
            </w:pPr>
            <w:r w:rsidRPr="00B82940">
              <w:rPr>
                <w:sz w:val="24"/>
                <w:lang w:val="en-US"/>
              </w:rPr>
              <w:t>"PRO" is 9 votes;</w:t>
            </w:r>
          </w:p>
          <w:p w14:paraId="12953840" w14:textId="77777777" w:rsidR="00B82940" w:rsidRPr="00B82940" w:rsidRDefault="00A24793" w:rsidP="00B82940">
            <w:pPr>
              <w:pStyle w:val="TableParagraph"/>
              <w:ind w:left="0"/>
              <w:jc w:val="both"/>
              <w:rPr>
                <w:sz w:val="24"/>
              </w:rPr>
            </w:pPr>
            <w:r w:rsidRPr="00B82940">
              <w:rPr>
                <w:sz w:val="24"/>
                <w:lang w:val="en-US"/>
              </w:rPr>
              <w:t>"CON" is 0 votes;</w:t>
            </w:r>
          </w:p>
          <w:p w14:paraId="019BBADB" w14:textId="77777777" w:rsidR="00B82940" w:rsidRPr="00B82940" w:rsidRDefault="00A24793" w:rsidP="00B82940">
            <w:pPr>
              <w:pStyle w:val="TableParagraph"/>
              <w:ind w:left="0"/>
              <w:jc w:val="both"/>
              <w:rPr>
                <w:sz w:val="24"/>
              </w:rPr>
            </w:pPr>
            <w:r w:rsidRPr="00B82940">
              <w:rPr>
                <w:sz w:val="24"/>
                <w:lang w:val="en-US"/>
              </w:rPr>
              <w:t>"ABSTAIN" is 2 votes.</w:t>
            </w:r>
          </w:p>
          <w:p w14:paraId="4E5C2199" w14:textId="77777777" w:rsidR="00B82940" w:rsidRPr="00B82940" w:rsidRDefault="00A24793" w:rsidP="00B82940">
            <w:pPr>
              <w:pStyle w:val="TableParagraph"/>
              <w:ind w:left="0"/>
              <w:jc w:val="both"/>
              <w:rPr>
                <w:b/>
                <w:sz w:val="24"/>
              </w:rPr>
            </w:pPr>
          </w:p>
          <w:p w14:paraId="3F81D3B5"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6</w:t>
            </w:r>
            <w:r w:rsidRPr="00B82940">
              <w:rPr>
                <w:sz w:val="24"/>
                <w:lang w:val="en-US"/>
              </w:rPr>
              <w:t xml:space="preserve"> of the agenda:</w:t>
            </w:r>
          </w:p>
          <w:p w14:paraId="72A3A5FC" w14:textId="77777777" w:rsidR="00B82940" w:rsidRPr="00B82940" w:rsidRDefault="00A24793" w:rsidP="00B82940">
            <w:pPr>
              <w:pStyle w:val="TableParagraph"/>
              <w:ind w:left="0"/>
              <w:jc w:val="both"/>
              <w:rPr>
                <w:sz w:val="24"/>
              </w:rPr>
            </w:pPr>
            <w:r w:rsidRPr="00B82940">
              <w:rPr>
                <w:sz w:val="24"/>
                <w:lang w:val="en-US"/>
              </w:rPr>
              <w:t>"PRO" is 9 votes;</w:t>
            </w:r>
          </w:p>
          <w:p w14:paraId="0B23AF95" w14:textId="77777777" w:rsidR="00B82940" w:rsidRPr="00B82940" w:rsidRDefault="00A24793" w:rsidP="00B82940">
            <w:pPr>
              <w:pStyle w:val="TableParagraph"/>
              <w:ind w:left="0"/>
              <w:jc w:val="both"/>
              <w:rPr>
                <w:sz w:val="24"/>
              </w:rPr>
            </w:pPr>
            <w:r w:rsidRPr="00B82940">
              <w:rPr>
                <w:sz w:val="24"/>
                <w:lang w:val="en-US"/>
              </w:rPr>
              <w:t>"CON" is 2 votes;</w:t>
            </w:r>
          </w:p>
          <w:p w14:paraId="7313A47E" w14:textId="77777777" w:rsidR="00B82940" w:rsidRPr="00B82940" w:rsidRDefault="00A24793" w:rsidP="00B82940">
            <w:pPr>
              <w:pStyle w:val="TableParagraph"/>
              <w:ind w:left="0"/>
              <w:jc w:val="both"/>
              <w:rPr>
                <w:sz w:val="24"/>
              </w:rPr>
            </w:pPr>
            <w:r w:rsidRPr="00B82940">
              <w:rPr>
                <w:sz w:val="24"/>
                <w:lang w:val="en-US"/>
              </w:rPr>
              <w:t>"ABSTAIN" is 0 votes.</w:t>
            </w:r>
          </w:p>
          <w:p w14:paraId="539A6CE9"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7</w:t>
            </w:r>
            <w:r w:rsidRPr="00B82940">
              <w:rPr>
                <w:sz w:val="24"/>
                <w:lang w:val="en-US"/>
              </w:rPr>
              <w:t xml:space="preserve"> of the agenda:</w:t>
            </w:r>
          </w:p>
          <w:p w14:paraId="6650F94A" w14:textId="77777777" w:rsidR="00B82940" w:rsidRPr="00B82940" w:rsidRDefault="00A24793" w:rsidP="00B82940">
            <w:pPr>
              <w:pStyle w:val="TableParagraph"/>
              <w:ind w:left="0"/>
              <w:jc w:val="both"/>
              <w:rPr>
                <w:sz w:val="24"/>
              </w:rPr>
            </w:pPr>
            <w:r w:rsidRPr="00B82940">
              <w:rPr>
                <w:sz w:val="24"/>
                <w:lang w:val="en-US"/>
              </w:rPr>
              <w:lastRenderedPageBreak/>
              <w:t>"PRO" is 9 votes;</w:t>
            </w:r>
          </w:p>
          <w:p w14:paraId="4B787322" w14:textId="77777777" w:rsidR="00B82940" w:rsidRPr="00B82940" w:rsidRDefault="00A24793" w:rsidP="00B82940">
            <w:pPr>
              <w:pStyle w:val="TableParagraph"/>
              <w:ind w:left="0"/>
              <w:jc w:val="both"/>
              <w:rPr>
                <w:sz w:val="24"/>
              </w:rPr>
            </w:pPr>
            <w:r w:rsidRPr="00B82940">
              <w:rPr>
                <w:sz w:val="24"/>
                <w:lang w:val="en-US"/>
              </w:rPr>
              <w:t>"CON" is 0 votes;</w:t>
            </w:r>
          </w:p>
          <w:p w14:paraId="66E5C4BA" w14:textId="77777777" w:rsidR="00B82940" w:rsidRPr="00B82940" w:rsidRDefault="00A24793" w:rsidP="00B82940">
            <w:pPr>
              <w:pStyle w:val="TableParagraph"/>
              <w:ind w:left="0"/>
              <w:jc w:val="both"/>
              <w:rPr>
                <w:sz w:val="24"/>
              </w:rPr>
            </w:pPr>
            <w:r w:rsidRPr="00B82940">
              <w:rPr>
                <w:sz w:val="24"/>
                <w:lang w:val="en-US"/>
              </w:rPr>
              <w:t>"ABSTAIN" is 2 votes.</w:t>
            </w:r>
          </w:p>
          <w:p w14:paraId="17B90A8F" w14:textId="77777777" w:rsidR="00B82940" w:rsidRPr="00B82940" w:rsidRDefault="00A24793" w:rsidP="00B82940">
            <w:pPr>
              <w:pStyle w:val="TableParagraph"/>
              <w:ind w:left="0"/>
              <w:jc w:val="both"/>
              <w:rPr>
                <w:sz w:val="24"/>
              </w:rPr>
            </w:pPr>
          </w:p>
          <w:p w14:paraId="30D6D483"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8</w:t>
            </w:r>
            <w:r w:rsidRPr="00B82940">
              <w:rPr>
                <w:sz w:val="24"/>
                <w:lang w:val="en-US"/>
              </w:rPr>
              <w:t xml:space="preserve"> of the agenda:</w:t>
            </w:r>
          </w:p>
          <w:p w14:paraId="3CA360C9" w14:textId="77777777" w:rsidR="00B82940" w:rsidRPr="00B82940" w:rsidRDefault="00A24793" w:rsidP="00B82940">
            <w:pPr>
              <w:pStyle w:val="TableParagraph"/>
              <w:ind w:left="0"/>
              <w:jc w:val="both"/>
              <w:rPr>
                <w:sz w:val="24"/>
              </w:rPr>
            </w:pPr>
            <w:r w:rsidRPr="00B82940">
              <w:rPr>
                <w:sz w:val="24"/>
                <w:lang w:val="en-US"/>
              </w:rPr>
              <w:t>"PRO" is 9 votes;</w:t>
            </w:r>
          </w:p>
          <w:p w14:paraId="62C4C586" w14:textId="77777777" w:rsidR="00B82940" w:rsidRPr="00B82940" w:rsidRDefault="00A24793" w:rsidP="00B82940">
            <w:pPr>
              <w:pStyle w:val="TableParagraph"/>
              <w:ind w:left="0"/>
              <w:jc w:val="both"/>
              <w:rPr>
                <w:sz w:val="24"/>
              </w:rPr>
            </w:pPr>
            <w:r w:rsidRPr="00B82940">
              <w:rPr>
                <w:sz w:val="24"/>
                <w:lang w:val="en-US"/>
              </w:rPr>
              <w:t>"CON" is 0 votes;</w:t>
            </w:r>
          </w:p>
          <w:p w14:paraId="31DAA2F6" w14:textId="77777777" w:rsidR="00B82940" w:rsidRPr="00B82940" w:rsidRDefault="00A24793" w:rsidP="00B82940">
            <w:pPr>
              <w:pStyle w:val="TableParagraph"/>
              <w:ind w:left="0"/>
              <w:jc w:val="both"/>
              <w:rPr>
                <w:sz w:val="24"/>
              </w:rPr>
            </w:pPr>
            <w:r w:rsidRPr="00B82940">
              <w:rPr>
                <w:sz w:val="24"/>
                <w:lang w:val="en-US"/>
              </w:rPr>
              <w:t>"ABSTAIN" is 2 votes.</w:t>
            </w:r>
          </w:p>
          <w:p w14:paraId="2BAA85D2" w14:textId="77777777" w:rsidR="00B82940" w:rsidRPr="00B82940" w:rsidRDefault="00A24793" w:rsidP="00B82940">
            <w:pPr>
              <w:pStyle w:val="TableParagraph"/>
              <w:ind w:left="0"/>
              <w:jc w:val="both"/>
              <w:rPr>
                <w:sz w:val="24"/>
              </w:rPr>
            </w:pPr>
          </w:p>
          <w:p w14:paraId="47DC8395"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9</w:t>
            </w:r>
            <w:r w:rsidRPr="00B82940">
              <w:rPr>
                <w:sz w:val="24"/>
                <w:lang w:val="en-US"/>
              </w:rPr>
              <w:t xml:space="preserve"> of the agenda:</w:t>
            </w:r>
          </w:p>
          <w:p w14:paraId="71B0D11B" w14:textId="77777777" w:rsidR="00B82940" w:rsidRPr="00B82940" w:rsidRDefault="00A24793" w:rsidP="00B82940">
            <w:pPr>
              <w:pStyle w:val="TableParagraph"/>
              <w:ind w:left="0"/>
              <w:jc w:val="both"/>
              <w:rPr>
                <w:sz w:val="24"/>
              </w:rPr>
            </w:pPr>
            <w:r w:rsidRPr="00B82940">
              <w:rPr>
                <w:sz w:val="24"/>
                <w:lang w:val="en-US"/>
              </w:rPr>
              <w:t>"PRO" is 9 votes;</w:t>
            </w:r>
          </w:p>
          <w:p w14:paraId="2752DAD1" w14:textId="77777777" w:rsidR="00B82940" w:rsidRPr="00B82940" w:rsidRDefault="00A24793" w:rsidP="00B82940">
            <w:pPr>
              <w:pStyle w:val="TableParagraph"/>
              <w:ind w:left="0"/>
              <w:jc w:val="both"/>
              <w:rPr>
                <w:sz w:val="24"/>
              </w:rPr>
            </w:pPr>
            <w:r w:rsidRPr="00B82940">
              <w:rPr>
                <w:sz w:val="24"/>
                <w:lang w:val="en-US"/>
              </w:rPr>
              <w:t>"CON" is 0 votes;</w:t>
            </w:r>
          </w:p>
          <w:p w14:paraId="30A14DE2" w14:textId="77777777" w:rsidR="00B82940" w:rsidRPr="00B82940" w:rsidRDefault="00A24793" w:rsidP="00B82940">
            <w:pPr>
              <w:pStyle w:val="TableParagraph"/>
              <w:ind w:left="0"/>
              <w:jc w:val="both"/>
              <w:rPr>
                <w:sz w:val="24"/>
              </w:rPr>
            </w:pPr>
            <w:r w:rsidRPr="00B82940">
              <w:rPr>
                <w:sz w:val="24"/>
                <w:lang w:val="en-US"/>
              </w:rPr>
              <w:t>"ABSTAIN" is 2 votes.</w:t>
            </w:r>
          </w:p>
          <w:p w14:paraId="3735954B" w14:textId="77777777" w:rsidR="00B82940" w:rsidRPr="00B82940" w:rsidRDefault="00A24793" w:rsidP="00B82940">
            <w:pPr>
              <w:pStyle w:val="TableParagraph"/>
              <w:ind w:left="0"/>
              <w:jc w:val="both"/>
              <w:rPr>
                <w:sz w:val="24"/>
              </w:rPr>
            </w:pPr>
          </w:p>
          <w:p w14:paraId="1DAD2EF2" w14:textId="77777777" w:rsidR="00B82940" w:rsidRPr="00B82940" w:rsidRDefault="00A24793" w:rsidP="00B82940">
            <w:pPr>
              <w:pStyle w:val="TableParagraph"/>
              <w:ind w:left="0"/>
              <w:jc w:val="both"/>
              <w:rPr>
                <w:sz w:val="24"/>
              </w:rPr>
            </w:pPr>
            <w:r w:rsidRPr="00B82940">
              <w:rPr>
                <w:sz w:val="24"/>
                <w:lang w:val="en-US"/>
              </w:rPr>
              <w:t xml:space="preserve">Voting results </w:t>
            </w:r>
            <w:r w:rsidRPr="00B82940">
              <w:rPr>
                <w:b/>
                <w:sz w:val="24"/>
                <w:lang w:val="en-US"/>
              </w:rPr>
              <w:t>on issue No. 10</w:t>
            </w:r>
            <w:r w:rsidRPr="00B82940">
              <w:rPr>
                <w:sz w:val="24"/>
                <w:lang w:val="en-US"/>
              </w:rPr>
              <w:t xml:space="preserve"> of the agenda:</w:t>
            </w:r>
          </w:p>
          <w:p w14:paraId="17EEC572" w14:textId="77777777" w:rsidR="00B82940" w:rsidRPr="00B82940" w:rsidRDefault="00A24793" w:rsidP="00B82940">
            <w:pPr>
              <w:pStyle w:val="TableParagraph"/>
              <w:ind w:left="0"/>
              <w:jc w:val="both"/>
              <w:rPr>
                <w:sz w:val="24"/>
              </w:rPr>
            </w:pPr>
            <w:r w:rsidRPr="00B82940">
              <w:rPr>
                <w:sz w:val="24"/>
                <w:lang w:val="en-US"/>
              </w:rPr>
              <w:t>"PRO" is 10 votes;</w:t>
            </w:r>
          </w:p>
          <w:p w14:paraId="3E195D7D" w14:textId="77777777" w:rsidR="00B82940" w:rsidRPr="00B82940" w:rsidRDefault="00A24793" w:rsidP="00B82940">
            <w:pPr>
              <w:pStyle w:val="TableParagraph"/>
              <w:ind w:left="0"/>
              <w:jc w:val="both"/>
              <w:rPr>
                <w:sz w:val="24"/>
              </w:rPr>
            </w:pPr>
            <w:r w:rsidRPr="00B82940">
              <w:rPr>
                <w:sz w:val="24"/>
                <w:lang w:val="en-US"/>
              </w:rPr>
              <w:t xml:space="preserve">"CON" is 0 </w:t>
            </w:r>
            <w:r w:rsidRPr="00B82940">
              <w:rPr>
                <w:sz w:val="24"/>
                <w:lang w:val="en-US"/>
              </w:rPr>
              <w:t>votes;</w:t>
            </w:r>
          </w:p>
          <w:p w14:paraId="6E244B4A" w14:textId="77777777" w:rsidR="00B82940" w:rsidRPr="00B82940" w:rsidRDefault="00A24793" w:rsidP="00B82940">
            <w:pPr>
              <w:pStyle w:val="TableParagraph"/>
              <w:ind w:left="0"/>
              <w:jc w:val="both"/>
              <w:rPr>
                <w:sz w:val="24"/>
              </w:rPr>
            </w:pPr>
            <w:r w:rsidRPr="00B82940">
              <w:rPr>
                <w:sz w:val="24"/>
                <w:lang w:val="en-US"/>
              </w:rPr>
              <w:t>"ABSTAIN" is 1 vote.</w:t>
            </w:r>
          </w:p>
        </w:tc>
      </w:tr>
      <w:tr w:rsidR="00E908D3" w14:paraId="52DCAF6C" w14:textId="77777777" w:rsidTr="00B82940">
        <w:trPr>
          <w:trHeight w:val="20"/>
        </w:trPr>
        <w:tc>
          <w:tcPr>
            <w:tcW w:w="5000" w:type="pct"/>
            <w:gridSpan w:val="7"/>
          </w:tcPr>
          <w:p w14:paraId="402126DC" w14:textId="77777777" w:rsidR="00D3444B" w:rsidRPr="00B82940" w:rsidRDefault="00A24793" w:rsidP="00B82940">
            <w:pPr>
              <w:pStyle w:val="TableParagraph"/>
              <w:ind w:left="0" w:firstLine="595"/>
              <w:jc w:val="both"/>
              <w:rPr>
                <w:b/>
                <w:sz w:val="24"/>
              </w:rPr>
            </w:pPr>
            <w:r w:rsidRPr="00B82940">
              <w:rPr>
                <w:b/>
                <w:sz w:val="24"/>
                <w:lang w:val="en-US"/>
              </w:rPr>
              <w:lastRenderedPageBreak/>
              <w:t>Insider information disclosure on issue No. 1: On execution of the business plan of IDGC of the South, PJSC for the 1st half of 2019.</w:t>
            </w:r>
          </w:p>
        </w:tc>
      </w:tr>
      <w:tr w:rsidR="00E908D3" w14:paraId="35AA5155" w14:textId="77777777" w:rsidTr="00B82940">
        <w:trPr>
          <w:trHeight w:val="20"/>
        </w:trPr>
        <w:tc>
          <w:tcPr>
            <w:tcW w:w="5000" w:type="pct"/>
            <w:gridSpan w:val="7"/>
          </w:tcPr>
          <w:p w14:paraId="77429DF2" w14:textId="77777777" w:rsidR="00D3444B" w:rsidRPr="00B82940" w:rsidRDefault="00A24793" w:rsidP="00B82940">
            <w:pPr>
              <w:pStyle w:val="TableParagraph"/>
              <w:numPr>
                <w:ilvl w:val="2"/>
                <w:numId w:val="6"/>
              </w:numPr>
              <w:tabs>
                <w:tab w:val="left" w:pos="747"/>
              </w:tabs>
              <w:ind w:left="0" w:firstLine="0"/>
              <w:jc w:val="both"/>
              <w:rPr>
                <w:sz w:val="24"/>
              </w:rPr>
            </w:pPr>
            <w:r w:rsidRPr="00B82940">
              <w:rPr>
                <w:sz w:val="24"/>
                <w:lang w:val="en-US"/>
              </w:rPr>
              <w:t>Resolution content adopted by the Issuer's Board of Directors:</w:t>
            </w:r>
          </w:p>
          <w:p w14:paraId="51B23357" w14:textId="77777777" w:rsidR="00D3444B" w:rsidRPr="00B82940" w:rsidRDefault="00A24793" w:rsidP="00B82940">
            <w:pPr>
              <w:pStyle w:val="TableParagraph"/>
              <w:numPr>
                <w:ilvl w:val="3"/>
                <w:numId w:val="6"/>
              </w:numPr>
              <w:tabs>
                <w:tab w:val="left" w:pos="1159"/>
              </w:tabs>
              <w:ind w:left="0" w:firstLine="595"/>
              <w:jc w:val="both"/>
              <w:rPr>
                <w:sz w:val="24"/>
              </w:rPr>
            </w:pPr>
            <w:r w:rsidRPr="00B82940">
              <w:rPr>
                <w:sz w:val="24"/>
                <w:lang w:val="en-US"/>
              </w:rPr>
              <w:t>Take into consideration the r</w:t>
            </w:r>
            <w:r w:rsidRPr="00B82940">
              <w:rPr>
                <w:sz w:val="24"/>
                <w:lang w:val="en-US"/>
              </w:rPr>
              <w:t>eport on execution of the business plan of IDGC of the South, PJSC for the 1st half of 2019 according to Annex No. 1 to this resolution of the Company's Board of Directors.</w:t>
            </w:r>
          </w:p>
          <w:p w14:paraId="3C687622" w14:textId="77777777" w:rsidR="00D3444B" w:rsidRPr="00B82940" w:rsidRDefault="00A24793" w:rsidP="00B82940">
            <w:pPr>
              <w:pStyle w:val="TableParagraph"/>
              <w:numPr>
                <w:ilvl w:val="3"/>
                <w:numId w:val="6"/>
              </w:numPr>
              <w:tabs>
                <w:tab w:val="left" w:pos="1159"/>
              </w:tabs>
              <w:ind w:left="0" w:firstLine="595"/>
              <w:jc w:val="both"/>
              <w:rPr>
                <w:sz w:val="24"/>
              </w:rPr>
            </w:pPr>
            <w:r w:rsidRPr="00B82940">
              <w:rPr>
                <w:sz w:val="24"/>
                <w:lang w:val="en-US"/>
              </w:rPr>
              <w:t>Note, based on the results of the Company's work for the first half of 2019, the fa</w:t>
            </w:r>
            <w:r w:rsidRPr="00B82940">
              <w:rPr>
                <w:sz w:val="24"/>
                <w:lang w:val="en-US"/>
              </w:rPr>
              <w:t>ilure to meet the planned indicators in accordance with Annex 2 to this resolution of the Company's Board of Directors.</w:t>
            </w:r>
          </w:p>
          <w:p w14:paraId="0E88D4EA" w14:textId="77777777" w:rsidR="00D3444B" w:rsidRPr="00B82940" w:rsidRDefault="00A24793" w:rsidP="00B82940">
            <w:pPr>
              <w:pStyle w:val="TableParagraph"/>
              <w:numPr>
                <w:ilvl w:val="3"/>
                <w:numId w:val="6"/>
              </w:numPr>
              <w:tabs>
                <w:tab w:val="left" w:pos="1020"/>
              </w:tabs>
              <w:ind w:left="0" w:firstLine="595"/>
              <w:jc w:val="both"/>
              <w:rPr>
                <w:sz w:val="24"/>
              </w:rPr>
            </w:pPr>
            <w:r w:rsidRPr="00B82940">
              <w:rPr>
                <w:sz w:val="24"/>
                <w:lang w:val="en-US"/>
              </w:rPr>
              <w:t>Instruct the Single Executive Body of the Company to ensure that the following is achieved by the end of the year:</w:t>
            </w:r>
          </w:p>
          <w:p w14:paraId="325CD154" w14:textId="77777777" w:rsidR="00D3444B" w:rsidRPr="00B82940" w:rsidRDefault="00A24793" w:rsidP="00B82940">
            <w:pPr>
              <w:pStyle w:val="TableParagraph"/>
              <w:numPr>
                <w:ilvl w:val="4"/>
                <w:numId w:val="6"/>
              </w:numPr>
              <w:tabs>
                <w:tab w:val="left" w:pos="1159"/>
              </w:tabs>
              <w:ind w:left="0" w:firstLine="595"/>
              <w:jc w:val="both"/>
              <w:rPr>
                <w:sz w:val="24"/>
              </w:rPr>
            </w:pPr>
            <w:r w:rsidRPr="00B82940">
              <w:rPr>
                <w:sz w:val="24"/>
                <w:lang w:val="en-US"/>
              </w:rPr>
              <w:t xml:space="preserve">the planned </w:t>
            </w:r>
            <w:r w:rsidRPr="00B82940">
              <w:rPr>
                <w:sz w:val="24"/>
                <w:lang w:val="en-US"/>
              </w:rPr>
              <w:t>level of payment for the services provided in the business plan for 2019 for electric power transmission;</w:t>
            </w:r>
          </w:p>
          <w:p w14:paraId="2DD73F76" w14:textId="77777777" w:rsidR="00D3444B" w:rsidRPr="00B82940" w:rsidRDefault="00A24793" w:rsidP="00B82940">
            <w:pPr>
              <w:pStyle w:val="TableParagraph"/>
              <w:numPr>
                <w:ilvl w:val="4"/>
                <w:numId w:val="6"/>
              </w:numPr>
              <w:tabs>
                <w:tab w:val="left" w:pos="1443"/>
              </w:tabs>
              <w:ind w:left="0" w:firstLine="595"/>
              <w:jc w:val="both"/>
              <w:rPr>
                <w:sz w:val="24"/>
              </w:rPr>
            </w:pPr>
            <w:r w:rsidRPr="00B82940">
              <w:rPr>
                <w:sz w:val="24"/>
                <w:lang w:val="en-US"/>
              </w:rPr>
              <w:t>the planned level of losses stipulated in the business plan for 2019 for all branches and the Company as a whole.</w:t>
            </w:r>
          </w:p>
        </w:tc>
      </w:tr>
      <w:tr w:rsidR="00E908D3" w14:paraId="0E61257A" w14:textId="77777777" w:rsidTr="00B82940">
        <w:trPr>
          <w:trHeight w:val="20"/>
        </w:trPr>
        <w:tc>
          <w:tcPr>
            <w:tcW w:w="5000" w:type="pct"/>
            <w:gridSpan w:val="7"/>
          </w:tcPr>
          <w:p w14:paraId="61FEFDF2" w14:textId="77777777" w:rsidR="00D3444B" w:rsidRPr="00B82940" w:rsidRDefault="00A24793" w:rsidP="00B82940">
            <w:pPr>
              <w:pStyle w:val="TableParagraph"/>
              <w:ind w:left="0"/>
              <w:jc w:val="both"/>
              <w:rPr>
                <w:b/>
                <w:sz w:val="24"/>
              </w:rPr>
            </w:pPr>
            <w:r w:rsidRPr="00B82940">
              <w:rPr>
                <w:b/>
                <w:sz w:val="24"/>
                <w:lang w:val="en-US"/>
              </w:rPr>
              <w:t>Insider information disclosure on i</w:t>
            </w:r>
            <w:r w:rsidRPr="00B82940">
              <w:rPr>
                <w:b/>
                <w:sz w:val="24"/>
                <w:lang w:val="en-US"/>
              </w:rPr>
              <w:t>ssue No. 2: On approval of the report on results of implementation of the investment program of IDGC of the South, PJSC for Q2 2019.</w:t>
            </w:r>
          </w:p>
        </w:tc>
      </w:tr>
      <w:tr w:rsidR="00E908D3" w14:paraId="564A406B" w14:textId="77777777" w:rsidTr="00B82940">
        <w:trPr>
          <w:trHeight w:val="20"/>
        </w:trPr>
        <w:tc>
          <w:tcPr>
            <w:tcW w:w="5000" w:type="pct"/>
            <w:gridSpan w:val="7"/>
          </w:tcPr>
          <w:p w14:paraId="3FE776C3" w14:textId="77777777" w:rsidR="00D3444B" w:rsidRPr="00B82940" w:rsidRDefault="00A24793" w:rsidP="00B82940">
            <w:pPr>
              <w:pStyle w:val="TableParagraph"/>
              <w:numPr>
                <w:ilvl w:val="2"/>
                <w:numId w:val="5"/>
              </w:numPr>
              <w:tabs>
                <w:tab w:val="left" w:pos="747"/>
              </w:tabs>
              <w:ind w:left="0" w:firstLine="0"/>
              <w:jc w:val="both"/>
              <w:rPr>
                <w:sz w:val="24"/>
              </w:rPr>
            </w:pPr>
            <w:r w:rsidRPr="00B82940">
              <w:rPr>
                <w:sz w:val="24"/>
                <w:lang w:val="en-US"/>
              </w:rPr>
              <w:t>Resolution content adopted by the Issuer's Board of Directors:</w:t>
            </w:r>
          </w:p>
          <w:p w14:paraId="2DC3EE95" w14:textId="77777777" w:rsidR="00D3444B" w:rsidRPr="00B82940" w:rsidRDefault="00A24793" w:rsidP="00B82940">
            <w:pPr>
              <w:pStyle w:val="TableParagraph"/>
              <w:numPr>
                <w:ilvl w:val="3"/>
                <w:numId w:val="5"/>
              </w:numPr>
              <w:tabs>
                <w:tab w:val="left" w:pos="1159"/>
              </w:tabs>
              <w:ind w:left="0" w:firstLine="595"/>
              <w:jc w:val="both"/>
              <w:rPr>
                <w:sz w:val="24"/>
              </w:rPr>
            </w:pPr>
            <w:r w:rsidRPr="00B82940">
              <w:rPr>
                <w:sz w:val="24"/>
                <w:lang w:val="en-US"/>
              </w:rPr>
              <w:t xml:space="preserve">Take into consideration the report on the results of the </w:t>
            </w:r>
            <w:r w:rsidRPr="00B82940">
              <w:rPr>
                <w:sz w:val="24"/>
                <w:lang w:val="en-US"/>
              </w:rPr>
              <w:t>Company's investment program for Q2 2019 in accordance with Annex No. 3 hereto.</w:t>
            </w:r>
          </w:p>
          <w:p w14:paraId="50A49881" w14:textId="77777777" w:rsidR="00D3444B" w:rsidRPr="00B82940" w:rsidRDefault="00A24793" w:rsidP="00B82940">
            <w:pPr>
              <w:pStyle w:val="TableParagraph"/>
              <w:numPr>
                <w:ilvl w:val="3"/>
                <w:numId w:val="5"/>
              </w:numPr>
              <w:tabs>
                <w:tab w:val="left" w:pos="1158"/>
                <w:tab w:val="left" w:pos="1159"/>
              </w:tabs>
              <w:ind w:left="0" w:firstLine="595"/>
              <w:jc w:val="both"/>
              <w:rPr>
                <w:sz w:val="24"/>
              </w:rPr>
            </w:pPr>
            <w:r w:rsidRPr="00B82940">
              <w:rPr>
                <w:sz w:val="24"/>
                <w:lang w:val="en-US"/>
              </w:rPr>
              <w:t>Note:</w:t>
            </w:r>
          </w:p>
          <w:p w14:paraId="557B668D" w14:textId="77777777" w:rsidR="00D3444B" w:rsidRPr="00B82940" w:rsidRDefault="00A24793" w:rsidP="00B82940">
            <w:pPr>
              <w:pStyle w:val="TableParagraph"/>
              <w:numPr>
                <w:ilvl w:val="4"/>
                <w:numId w:val="5"/>
              </w:numPr>
              <w:tabs>
                <w:tab w:val="left" w:pos="1219"/>
              </w:tabs>
              <w:ind w:left="0" w:firstLine="595"/>
              <w:jc w:val="both"/>
              <w:rPr>
                <w:sz w:val="24"/>
              </w:rPr>
            </w:pPr>
            <w:r w:rsidRPr="00B82940">
              <w:rPr>
                <w:sz w:val="24"/>
                <w:lang w:val="en-US"/>
              </w:rPr>
              <w:t xml:space="preserve">Deviations from the planned parameters of the investment program of IDGC of the South, PJSC, approved by Order of the Ministry of Energy of Russia No. 11@ dated November </w:t>
            </w:r>
            <w:r w:rsidRPr="00B82940">
              <w:rPr>
                <w:sz w:val="24"/>
                <w:lang w:val="en-US"/>
              </w:rPr>
              <w:t>15, 2018, based on the results of the investment program for the first half of 2019, as per Annex No. 4 to this resolution of the Company's Board of Directors.</w:t>
            </w:r>
          </w:p>
          <w:p w14:paraId="7A1A1951" w14:textId="77777777" w:rsidR="00D3444B" w:rsidRPr="00B82940" w:rsidRDefault="00A24793" w:rsidP="00B82940">
            <w:pPr>
              <w:pStyle w:val="TableParagraph"/>
              <w:numPr>
                <w:ilvl w:val="4"/>
                <w:numId w:val="5"/>
              </w:numPr>
              <w:tabs>
                <w:tab w:val="left" w:pos="1159"/>
              </w:tabs>
              <w:ind w:left="0" w:firstLine="595"/>
              <w:jc w:val="both"/>
              <w:rPr>
                <w:sz w:val="24"/>
              </w:rPr>
            </w:pPr>
            <w:r w:rsidRPr="00B82940">
              <w:rPr>
                <w:sz w:val="24"/>
                <w:lang w:val="en-US"/>
              </w:rPr>
              <w:t>The risk that regional regulatory authorities will apply a negative adjustment to the required g</w:t>
            </w:r>
            <w:r w:rsidRPr="00B82940">
              <w:rPr>
                <w:sz w:val="24"/>
                <w:lang w:val="en-US"/>
              </w:rPr>
              <w:t>ross revenue due to changes (non-execution) in the investment program when implementing unscheduled investment projects.</w:t>
            </w:r>
          </w:p>
        </w:tc>
      </w:tr>
      <w:tr w:rsidR="00E908D3" w14:paraId="13A6C4C9" w14:textId="77777777" w:rsidTr="00B82940">
        <w:trPr>
          <w:trHeight w:val="20"/>
        </w:trPr>
        <w:tc>
          <w:tcPr>
            <w:tcW w:w="5000" w:type="pct"/>
            <w:gridSpan w:val="7"/>
          </w:tcPr>
          <w:p w14:paraId="79963CC8" w14:textId="77777777" w:rsidR="00D3444B" w:rsidRPr="00B82940" w:rsidRDefault="00A24793" w:rsidP="00B82940">
            <w:pPr>
              <w:pStyle w:val="TableParagraph"/>
              <w:ind w:left="0"/>
              <w:jc w:val="both"/>
              <w:rPr>
                <w:b/>
                <w:sz w:val="24"/>
              </w:rPr>
            </w:pPr>
            <w:r w:rsidRPr="00B82940">
              <w:rPr>
                <w:b/>
                <w:sz w:val="24"/>
                <w:lang w:val="en-US"/>
              </w:rPr>
              <w:t xml:space="preserve">Insider information disclosure on issue No. 3: On consideration of the report on acquisition of the electric power industry </w:t>
            </w:r>
            <w:r w:rsidRPr="00B82940">
              <w:rPr>
                <w:b/>
                <w:sz w:val="24"/>
                <w:lang w:val="en-US"/>
              </w:rPr>
              <w:t>objects, approval of which is not required by the Board of Directors, for the Q2 2019.</w:t>
            </w:r>
          </w:p>
        </w:tc>
      </w:tr>
      <w:tr w:rsidR="00E908D3" w14:paraId="6CCF779F" w14:textId="77777777" w:rsidTr="00B82940">
        <w:trPr>
          <w:trHeight w:val="20"/>
        </w:trPr>
        <w:tc>
          <w:tcPr>
            <w:tcW w:w="5000" w:type="pct"/>
            <w:gridSpan w:val="7"/>
          </w:tcPr>
          <w:p w14:paraId="7FD81DDF" w14:textId="77777777" w:rsidR="00D3444B" w:rsidRPr="00B82940" w:rsidRDefault="00A24793" w:rsidP="00B82940">
            <w:pPr>
              <w:pStyle w:val="TableParagraph"/>
              <w:ind w:left="0"/>
              <w:jc w:val="both"/>
              <w:rPr>
                <w:sz w:val="24"/>
              </w:rPr>
            </w:pPr>
            <w:r w:rsidRPr="00B82940">
              <w:rPr>
                <w:sz w:val="24"/>
                <w:lang w:val="en-US"/>
              </w:rPr>
              <w:t>2.2.3. Resolution content adopted by the Issuer's Board of Directors:</w:t>
            </w:r>
          </w:p>
          <w:p w14:paraId="20FEDF76" w14:textId="77777777" w:rsidR="00D3444B" w:rsidRPr="00B82940" w:rsidRDefault="00A24793" w:rsidP="00B82940">
            <w:pPr>
              <w:pStyle w:val="TableParagraph"/>
              <w:ind w:left="0" w:firstLine="595"/>
              <w:jc w:val="both"/>
              <w:rPr>
                <w:sz w:val="24"/>
              </w:rPr>
            </w:pPr>
            <w:r w:rsidRPr="00B82940">
              <w:rPr>
                <w:sz w:val="24"/>
                <w:lang w:val="en-US"/>
              </w:rPr>
              <w:t xml:space="preserve">Take into consideration the report on the acquisition of electric power industry facilities, the </w:t>
            </w:r>
            <w:r w:rsidRPr="00B82940">
              <w:rPr>
                <w:sz w:val="24"/>
                <w:lang w:val="en-US"/>
              </w:rPr>
              <w:lastRenderedPageBreak/>
              <w:t>a</w:t>
            </w:r>
            <w:r w:rsidRPr="00B82940">
              <w:rPr>
                <w:sz w:val="24"/>
                <w:lang w:val="en-US"/>
              </w:rPr>
              <w:t>pproval of which is not required by the Board of Directors, and on the compliance of the completed transaction with the Criteria for decision-making on projects for the consolidation of electric grid assets for the Q2 2019 in accordance with Annex No. 5 to</w:t>
            </w:r>
            <w:r w:rsidRPr="00B82940">
              <w:rPr>
                <w:sz w:val="24"/>
                <w:lang w:val="en-US"/>
              </w:rPr>
              <w:t xml:space="preserve"> this resolution of the Company's Board of Directors.</w:t>
            </w:r>
          </w:p>
        </w:tc>
      </w:tr>
      <w:tr w:rsidR="00E908D3" w14:paraId="52420470" w14:textId="77777777" w:rsidTr="00B82940">
        <w:trPr>
          <w:trHeight w:val="20"/>
        </w:trPr>
        <w:tc>
          <w:tcPr>
            <w:tcW w:w="5000" w:type="pct"/>
            <w:gridSpan w:val="7"/>
          </w:tcPr>
          <w:p w14:paraId="6E2D1315" w14:textId="77777777" w:rsidR="00D3444B" w:rsidRPr="00B82940" w:rsidRDefault="00A24793" w:rsidP="00B82940">
            <w:pPr>
              <w:pStyle w:val="TableParagraph"/>
              <w:ind w:left="0"/>
              <w:jc w:val="both"/>
              <w:rPr>
                <w:b/>
                <w:sz w:val="24"/>
              </w:rPr>
            </w:pPr>
            <w:r w:rsidRPr="00B82940">
              <w:rPr>
                <w:b/>
                <w:sz w:val="24"/>
                <w:lang w:val="en-US"/>
              </w:rPr>
              <w:lastRenderedPageBreak/>
              <w:t>Insider information disclosure on issue No. 4: On the current situation in the Company's activities for the technological connection of consumers to power grids for six months of 2019.</w:t>
            </w:r>
          </w:p>
        </w:tc>
      </w:tr>
      <w:tr w:rsidR="00E908D3" w14:paraId="17F036F2" w14:textId="77777777" w:rsidTr="00B82940">
        <w:trPr>
          <w:trHeight w:val="20"/>
        </w:trPr>
        <w:tc>
          <w:tcPr>
            <w:tcW w:w="5000" w:type="pct"/>
            <w:gridSpan w:val="7"/>
          </w:tcPr>
          <w:p w14:paraId="49B1279C" w14:textId="77777777" w:rsidR="00D3444B" w:rsidRPr="00B82940" w:rsidRDefault="00A24793" w:rsidP="00B82940">
            <w:pPr>
              <w:pStyle w:val="TableParagraph"/>
              <w:ind w:left="0"/>
              <w:jc w:val="both"/>
              <w:rPr>
                <w:sz w:val="24"/>
              </w:rPr>
            </w:pPr>
            <w:r w:rsidRPr="00B82940">
              <w:rPr>
                <w:sz w:val="24"/>
                <w:lang w:val="en-US"/>
              </w:rPr>
              <w:t>2.2.4. Resoluti</w:t>
            </w:r>
            <w:r w:rsidRPr="00B82940">
              <w:rPr>
                <w:sz w:val="24"/>
                <w:lang w:val="en-US"/>
              </w:rPr>
              <w:t>on content adopted by the Issuer's Board of Directors:</w:t>
            </w:r>
          </w:p>
          <w:p w14:paraId="2C496D3B" w14:textId="77777777" w:rsidR="00D3444B" w:rsidRPr="00B82940" w:rsidRDefault="00A24793" w:rsidP="00B82940">
            <w:pPr>
              <w:pStyle w:val="TableParagraph"/>
              <w:ind w:left="0" w:firstLine="595"/>
              <w:jc w:val="both"/>
              <w:rPr>
                <w:sz w:val="24"/>
              </w:rPr>
            </w:pPr>
            <w:r w:rsidRPr="00B82940">
              <w:rPr>
                <w:sz w:val="24"/>
                <w:lang w:val="en-US"/>
              </w:rPr>
              <w:t>Take into consideration the report on the current situation in the Company's activities for the technological connection of consumers to power grids for 6 months of 2019 in accordance with Annex 6 to t</w:t>
            </w:r>
            <w:r w:rsidRPr="00B82940">
              <w:rPr>
                <w:sz w:val="24"/>
                <w:lang w:val="en-US"/>
              </w:rPr>
              <w:t>his resolution of the Company's Board of Directors.</w:t>
            </w:r>
          </w:p>
        </w:tc>
      </w:tr>
      <w:tr w:rsidR="00E908D3" w14:paraId="2D97D40C" w14:textId="77777777" w:rsidTr="00B82940">
        <w:trPr>
          <w:trHeight w:val="20"/>
        </w:trPr>
        <w:tc>
          <w:tcPr>
            <w:tcW w:w="5000" w:type="pct"/>
            <w:gridSpan w:val="7"/>
          </w:tcPr>
          <w:p w14:paraId="75789277" w14:textId="77777777" w:rsidR="00D3444B" w:rsidRPr="00B82940" w:rsidRDefault="00A24793" w:rsidP="00B82940">
            <w:pPr>
              <w:pStyle w:val="TableParagraph"/>
              <w:ind w:left="0"/>
              <w:jc w:val="both"/>
              <w:rPr>
                <w:b/>
                <w:sz w:val="24"/>
              </w:rPr>
            </w:pPr>
            <w:r w:rsidRPr="00B82940">
              <w:rPr>
                <w:b/>
                <w:sz w:val="24"/>
                <w:lang w:val="en-US"/>
              </w:rPr>
              <w:t xml:space="preserve">Insider information disclosure on issue No. 5: On execution of the Plan of measures of IDGC of the South, PJSC aimed at the prevention and suppression of violations of requirements of the legislation of </w:t>
            </w:r>
            <w:r w:rsidRPr="00B82940">
              <w:rPr>
                <w:b/>
                <w:sz w:val="24"/>
                <w:lang w:val="en-US"/>
              </w:rPr>
              <w:t>the Russian Federation on the electric power industry for the Q2 2019.</w:t>
            </w:r>
          </w:p>
        </w:tc>
      </w:tr>
      <w:tr w:rsidR="00E908D3" w14:paraId="36271BD7" w14:textId="77777777" w:rsidTr="00B82940">
        <w:trPr>
          <w:trHeight w:val="20"/>
        </w:trPr>
        <w:tc>
          <w:tcPr>
            <w:tcW w:w="5000" w:type="pct"/>
            <w:gridSpan w:val="7"/>
          </w:tcPr>
          <w:p w14:paraId="34AE8ABB" w14:textId="77777777" w:rsidR="00D3444B" w:rsidRPr="00B82940" w:rsidRDefault="00A24793" w:rsidP="00B82940">
            <w:pPr>
              <w:pStyle w:val="TableParagraph"/>
              <w:ind w:left="0"/>
              <w:jc w:val="both"/>
              <w:rPr>
                <w:sz w:val="24"/>
              </w:rPr>
            </w:pPr>
            <w:r w:rsidRPr="00B82940">
              <w:rPr>
                <w:sz w:val="24"/>
                <w:lang w:val="en-US"/>
              </w:rPr>
              <w:t>2.2.5. Resolution content adopted by the Issuer's Board of Directors:</w:t>
            </w:r>
          </w:p>
          <w:p w14:paraId="270CEE85" w14:textId="77777777" w:rsidR="00D3444B" w:rsidRPr="00B82940" w:rsidRDefault="00A24793" w:rsidP="00B82940">
            <w:pPr>
              <w:pStyle w:val="TableParagraph"/>
              <w:ind w:left="0" w:firstLine="595"/>
              <w:jc w:val="both"/>
              <w:rPr>
                <w:sz w:val="24"/>
              </w:rPr>
            </w:pPr>
            <w:r w:rsidRPr="00B82940">
              <w:rPr>
                <w:sz w:val="24"/>
                <w:lang w:val="en-US"/>
              </w:rPr>
              <w:t xml:space="preserve">Take into consideration the report on progress of execution of the Plan of measures of IDGC of the South, PJSC </w:t>
            </w:r>
            <w:r w:rsidRPr="00B82940">
              <w:rPr>
                <w:sz w:val="24"/>
                <w:lang w:val="en-US"/>
              </w:rPr>
              <w:t>aimed at prevention and suppression of violations of the requirements of the legislation of the Russian Federation on electric power industry for the Q2 2019 in accordance with Annex No. 7 to this resolution of the Company's Board of Directors.</w:t>
            </w:r>
          </w:p>
        </w:tc>
      </w:tr>
      <w:tr w:rsidR="00E908D3" w14:paraId="3166705C" w14:textId="77777777" w:rsidTr="00B82940">
        <w:trPr>
          <w:trHeight w:val="20"/>
        </w:trPr>
        <w:tc>
          <w:tcPr>
            <w:tcW w:w="5000" w:type="pct"/>
            <w:gridSpan w:val="7"/>
          </w:tcPr>
          <w:p w14:paraId="1563D170" w14:textId="77777777" w:rsidR="00D3444B" w:rsidRPr="00B82940" w:rsidRDefault="00A24793" w:rsidP="00B82940">
            <w:pPr>
              <w:pStyle w:val="TableParagraph"/>
              <w:ind w:left="0"/>
              <w:jc w:val="both"/>
              <w:rPr>
                <w:b/>
                <w:sz w:val="24"/>
              </w:rPr>
            </w:pPr>
            <w:r w:rsidRPr="00B82940">
              <w:rPr>
                <w:b/>
                <w:sz w:val="24"/>
                <w:lang w:val="en-US"/>
              </w:rPr>
              <w:t>Insider in</w:t>
            </w:r>
            <w:r w:rsidRPr="00B82940">
              <w:rPr>
                <w:b/>
                <w:sz w:val="24"/>
                <w:lang w:val="en-US"/>
              </w:rPr>
              <w:t>formation disclosure on issue No. 6: On consideration of the report of internal audit of the Company on assessment of corporate governance efficiency for 2018-2019 corporate year.</w:t>
            </w:r>
          </w:p>
        </w:tc>
      </w:tr>
      <w:tr w:rsidR="00E908D3" w14:paraId="31922CE3" w14:textId="77777777" w:rsidTr="00B82940">
        <w:trPr>
          <w:trHeight w:val="20"/>
        </w:trPr>
        <w:tc>
          <w:tcPr>
            <w:tcW w:w="5000" w:type="pct"/>
            <w:gridSpan w:val="7"/>
          </w:tcPr>
          <w:p w14:paraId="41F13584" w14:textId="77777777" w:rsidR="00D3444B" w:rsidRPr="00B82940" w:rsidRDefault="00A24793" w:rsidP="00B82940">
            <w:pPr>
              <w:pStyle w:val="TableParagraph"/>
              <w:ind w:left="0"/>
              <w:jc w:val="both"/>
              <w:rPr>
                <w:sz w:val="24"/>
              </w:rPr>
            </w:pPr>
            <w:r w:rsidRPr="00B82940">
              <w:rPr>
                <w:sz w:val="24"/>
                <w:lang w:val="en-US"/>
              </w:rPr>
              <w:t xml:space="preserve">2.2.6. Resolution content adopted by the Issuer's Board of </w:t>
            </w:r>
            <w:r w:rsidRPr="00B82940">
              <w:rPr>
                <w:sz w:val="24"/>
                <w:lang w:val="en-US"/>
              </w:rPr>
              <w:t>Directors:</w:t>
            </w:r>
          </w:p>
          <w:p w14:paraId="5D9ED65A" w14:textId="77777777" w:rsidR="00D3444B" w:rsidRPr="00B82940" w:rsidRDefault="00A24793" w:rsidP="00B82940">
            <w:pPr>
              <w:pStyle w:val="TableParagraph"/>
              <w:ind w:left="0" w:firstLine="595"/>
              <w:jc w:val="both"/>
              <w:rPr>
                <w:sz w:val="24"/>
              </w:rPr>
            </w:pPr>
            <w:r w:rsidRPr="00B82940">
              <w:rPr>
                <w:sz w:val="24"/>
                <w:lang w:val="en-US"/>
              </w:rPr>
              <w:t>Take into consideration the report of the internal audit of IDGC of the South, PJSC on the assessment of corporate governance for the 2018-2019 corporate year in accordance with Annex No. 8 to this resolution of the Company's Board of Directors.</w:t>
            </w:r>
          </w:p>
        </w:tc>
      </w:tr>
      <w:tr w:rsidR="00E908D3" w14:paraId="194B3FE9" w14:textId="77777777" w:rsidTr="00B82940">
        <w:trPr>
          <w:trHeight w:val="20"/>
        </w:trPr>
        <w:tc>
          <w:tcPr>
            <w:tcW w:w="5000" w:type="pct"/>
            <w:gridSpan w:val="7"/>
          </w:tcPr>
          <w:p w14:paraId="4FD0D369" w14:textId="77777777" w:rsidR="00D3444B" w:rsidRPr="00B82940" w:rsidRDefault="00A24793" w:rsidP="00B82940">
            <w:pPr>
              <w:pStyle w:val="TableParagraph"/>
              <w:ind w:left="0"/>
              <w:jc w:val="both"/>
              <w:rPr>
                <w:b/>
                <w:sz w:val="24"/>
              </w:rPr>
            </w:pPr>
            <w:r w:rsidRPr="00B82940">
              <w:rPr>
                <w:b/>
                <w:sz w:val="24"/>
                <w:lang w:val="en-US"/>
              </w:rPr>
              <w:t>Insider information disclosure on issue No. 7: Determining the Company's position on the agenda item of the Extraordinary General Meeting of Shareholders of IDGC of the South, S.A., JSC - VMES, JSC.</w:t>
            </w:r>
          </w:p>
        </w:tc>
      </w:tr>
      <w:tr w:rsidR="00E908D3" w14:paraId="4C4B4BE6" w14:textId="77777777" w:rsidTr="00B82940">
        <w:trPr>
          <w:trHeight w:val="20"/>
        </w:trPr>
        <w:tc>
          <w:tcPr>
            <w:tcW w:w="5000" w:type="pct"/>
            <w:gridSpan w:val="7"/>
          </w:tcPr>
          <w:p w14:paraId="76DF7C2C" w14:textId="77777777" w:rsidR="00D3444B" w:rsidRPr="00B82940" w:rsidRDefault="00A24793" w:rsidP="00B82940">
            <w:pPr>
              <w:pStyle w:val="TableParagraph"/>
              <w:ind w:left="0"/>
              <w:jc w:val="both"/>
              <w:rPr>
                <w:sz w:val="24"/>
              </w:rPr>
            </w:pPr>
            <w:r w:rsidRPr="00B82940">
              <w:rPr>
                <w:sz w:val="24"/>
                <w:lang w:val="en-US"/>
              </w:rPr>
              <w:t>2.2.7. Resolution content adopted by the Issuer's Boar</w:t>
            </w:r>
            <w:r w:rsidRPr="00B82940">
              <w:rPr>
                <w:sz w:val="24"/>
                <w:lang w:val="en-US"/>
              </w:rPr>
              <w:t>d of Directors:</w:t>
            </w:r>
          </w:p>
          <w:p w14:paraId="76AB9C77" w14:textId="77777777" w:rsidR="00D3444B" w:rsidRPr="00B82940" w:rsidRDefault="00A24793" w:rsidP="00B82940">
            <w:pPr>
              <w:pStyle w:val="TableParagraph"/>
              <w:ind w:left="0" w:firstLine="595"/>
              <w:jc w:val="both"/>
              <w:rPr>
                <w:sz w:val="24"/>
              </w:rPr>
            </w:pPr>
            <w:r w:rsidRPr="00B82940">
              <w:rPr>
                <w:sz w:val="24"/>
                <w:lang w:val="en-US"/>
              </w:rPr>
              <w:t xml:space="preserve">Instruct the representatives of IDGC of the South, PJSC at the Extraordinary General Meeting of Shareholders of JSC "VMES" on the issue "On Approval of the Regulations on Payment of Remuneration and Compensation to the Members of the Audit </w:t>
            </w:r>
            <w:r w:rsidRPr="00B82940">
              <w:rPr>
                <w:sz w:val="24"/>
                <w:lang w:val="en-US"/>
              </w:rPr>
              <w:t>Commission of JSC "VMES" to vote "PRO" the following resolution:</w:t>
            </w:r>
          </w:p>
          <w:p w14:paraId="309E846E" w14:textId="77777777" w:rsidR="00D3444B" w:rsidRPr="00B82940" w:rsidRDefault="00A24793" w:rsidP="00B82940">
            <w:pPr>
              <w:pStyle w:val="TableParagraph"/>
              <w:ind w:left="0" w:firstLine="595"/>
              <w:jc w:val="both"/>
              <w:rPr>
                <w:sz w:val="24"/>
              </w:rPr>
            </w:pPr>
            <w:r w:rsidRPr="00B82940">
              <w:rPr>
                <w:sz w:val="24"/>
                <w:lang w:val="en-US"/>
              </w:rPr>
              <w:t>Approve the Regulations on Payment of Remuneration and Compensation to the Members of the Audit Commission of PJSC "VMES".</w:t>
            </w:r>
          </w:p>
        </w:tc>
      </w:tr>
      <w:tr w:rsidR="00E908D3" w14:paraId="46377857" w14:textId="77777777" w:rsidTr="00B82940">
        <w:trPr>
          <w:trHeight w:val="20"/>
        </w:trPr>
        <w:tc>
          <w:tcPr>
            <w:tcW w:w="5000" w:type="pct"/>
            <w:gridSpan w:val="7"/>
          </w:tcPr>
          <w:p w14:paraId="7FAB8B85" w14:textId="77777777" w:rsidR="00D3444B" w:rsidRPr="00B82940" w:rsidRDefault="00A24793" w:rsidP="00B82940">
            <w:pPr>
              <w:pStyle w:val="TableParagraph"/>
              <w:ind w:left="0"/>
              <w:jc w:val="both"/>
              <w:rPr>
                <w:b/>
                <w:sz w:val="24"/>
              </w:rPr>
            </w:pPr>
            <w:r w:rsidRPr="00B82940">
              <w:rPr>
                <w:b/>
                <w:sz w:val="24"/>
                <w:lang w:val="en-US"/>
              </w:rPr>
              <w:t xml:space="preserve">Insider information disclosure on issue No. 8: On consideration of </w:t>
            </w:r>
            <w:r w:rsidRPr="00B82940">
              <w:rPr>
                <w:b/>
                <w:sz w:val="24"/>
                <w:lang w:val="en-US"/>
              </w:rPr>
              <w:t>the results of the field inspection of the Ministry of Energy of Russia of the investment project implementation:</w:t>
            </w:r>
          </w:p>
          <w:p w14:paraId="73146CC4" w14:textId="77777777" w:rsidR="00D3444B" w:rsidRPr="00B82940" w:rsidRDefault="00A24793" w:rsidP="00B82940">
            <w:pPr>
              <w:pStyle w:val="TableParagraph"/>
              <w:ind w:left="0"/>
              <w:jc w:val="both"/>
              <w:rPr>
                <w:b/>
                <w:sz w:val="24"/>
              </w:rPr>
            </w:pPr>
            <w:r w:rsidRPr="00B82940">
              <w:rPr>
                <w:b/>
                <w:sz w:val="24"/>
                <w:lang w:val="en-US"/>
              </w:rPr>
              <w:t>"Reconstruction of the 110 kV AL "Elista Zapadnaya - Elista Vostochnaya" with 35 kV AL</w:t>
            </w:r>
          </w:p>
          <w:p w14:paraId="719D9A5B" w14:textId="77777777" w:rsidR="00D3444B" w:rsidRPr="00B82940" w:rsidRDefault="00A24793" w:rsidP="00B82940">
            <w:pPr>
              <w:pStyle w:val="TableParagraph"/>
              <w:ind w:left="0"/>
              <w:jc w:val="both"/>
              <w:rPr>
                <w:b/>
                <w:sz w:val="24"/>
              </w:rPr>
            </w:pPr>
            <w:r w:rsidRPr="00B82940">
              <w:rPr>
                <w:b/>
                <w:sz w:val="24"/>
                <w:lang w:val="en-US"/>
              </w:rPr>
              <w:t>"Elista Zapadnaya - EPTF" with the removal of the resid</w:t>
            </w:r>
            <w:r w:rsidRPr="00B82940">
              <w:rPr>
                <w:b/>
                <w:sz w:val="24"/>
                <w:lang w:val="en-US"/>
              </w:rPr>
              <w:t>ential area of Elista (approximate power transmission line length is 15 km)" and approval of the action plan for the elimination of the revealed remarks.</w:t>
            </w:r>
          </w:p>
        </w:tc>
      </w:tr>
      <w:tr w:rsidR="00E908D3" w14:paraId="676AB32A" w14:textId="77777777" w:rsidTr="00B82940">
        <w:trPr>
          <w:trHeight w:val="20"/>
        </w:trPr>
        <w:tc>
          <w:tcPr>
            <w:tcW w:w="5000" w:type="pct"/>
            <w:gridSpan w:val="7"/>
          </w:tcPr>
          <w:p w14:paraId="59106F01" w14:textId="77777777" w:rsidR="00D3444B" w:rsidRPr="00B82940" w:rsidRDefault="00A24793" w:rsidP="00B82940">
            <w:pPr>
              <w:pStyle w:val="TableParagraph"/>
              <w:numPr>
                <w:ilvl w:val="2"/>
                <w:numId w:val="4"/>
              </w:numPr>
              <w:tabs>
                <w:tab w:val="left" w:pos="747"/>
              </w:tabs>
              <w:ind w:left="0" w:firstLine="0"/>
              <w:jc w:val="both"/>
              <w:rPr>
                <w:sz w:val="24"/>
              </w:rPr>
            </w:pPr>
            <w:r w:rsidRPr="00B82940">
              <w:rPr>
                <w:sz w:val="24"/>
                <w:lang w:val="en-US"/>
              </w:rPr>
              <w:t>Resolution content adopted by the Issuer's Board of Directors:</w:t>
            </w:r>
          </w:p>
          <w:p w14:paraId="667F6B8D" w14:textId="77777777" w:rsidR="00D3444B" w:rsidRPr="00B82940" w:rsidRDefault="00A24793" w:rsidP="00B82940">
            <w:pPr>
              <w:pStyle w:val="TableParagraph"/>
              <w:numPr>
                <w:ilvl w:val="3"/>
                <w:numId w:val="4"/>
              </w:numPr>
              <w:tabs>
                <w:tab w:val="left" w:pos="948"/>
              </w:tabs>
              <w:ind w:left="0" w:firstLine="595"/>
              <w:jc w:val="both"/>
              <w:rPr>
                <w:sz w:val="24"/>
              </w:rPr>
            </w:pPr>
            <w:r w:rsidRPr="00B82940">
              <w:rPr>
                <w:sz w:val="24"/>
                <w:lang w:val="en-US"/>
              </w:rPr>
              <w:t xml:space="preserve">Take into consideration the </w:t>
            </w:r>
            <w:r w:rsidRPr="00B82940">
              <w:rPr>
                <w:sz w:val="24"/>
                <w:lang w:val="en-US"/>
              </w:rPr>
              <w:t>information about the results of the inspection of the investment project implementation: "Reconstruction of 110 kV AL "Elista Zapadnaya - Elista Vostochnaya" with 35 kV AL "Elista Vostochnaya - EPTF" with the removal from the residential area of Elista (a</w:t>
            </w:r>
            <w:r w:rsidRPr="00B82940">
              <w:rPr>
                <w:sz w:val="24"/>
                <w:lang w:val="en-US"/>
              </w:rPr>
              <w:t>pproximate power transmission line length is 15 km)".</w:t>
            </w:r>
          </w:p>
          <w:p w14:paraId="414DF988" w14:textId="77777777" w:rsidR="00D3444B" w:rsidRPr="00B82940" w:rsidRDefault="00A24793" w:rsidP="00B82940">
            <w:pPr>
              <w:pStyle w:val="TableParagraph"/>
              <w:numPr>
                <w:ilvl w:val="3"/>
                <w:numId w:val="4"/>
              </w:numPr>
              <w:tabs>
                <w:tab w:val="left" w:pos="879"/>
              </w:tabs>
              <w:ind w:left="0" w:firstLine="595"/>
              <w:jc w:val="both"/>
              <w:rPr>
                <w:sz w:val="24"/>
              </w:rPr>
            </w:pPr>
            <w:r w:rsidRPr="00B82940">
              <w:rPr>
                <w:sz w:val="24"/>
                <w:lang w:val="en-US"/>
              </w:rPr>
              <w:t>Approve the Plan of Corrective Measures of IDGC of the South, PJSC for elimination</w:t>
            </w:r>
          </w:p>
        </w:tc>
      </w:tr>
      <w:tr w:rsidR="00E908D3" w14:paraId="53729313" w14:textId="77777777" w:rsidTr="00B82940">
        <w:trPr>
          <w:trHeight w:val="20"/>
        </w:trPr>
        <w:tc>
          <w:tcPr>
            <w:tcW w:w="5000" w:type="pct"/>
            <w:gridSpan w:val="7"/>
          </w:tcPr>
          <w:p w14:paraId="03684D85" w14:textId="77777777" w:rsidR="00D3444B" w:rsidRPr="00B82940" w:rsidRDefault="00A24793" w:rsidP="00B82940">
            <w:pPr>
              <w:pStyle w:val="TableParagraph"/>
              <w:ind w:left="0" w:firstLine="595"/>
              <w:jc w:val="both"/>
              <w:rPr>
                <w:sz w:val="24"/>
              </w:rPr>
            </w:pPr>
            <w:r w:rsidRPr="00B82940">
              <w:rPr>
                <w:sz w:val="24"/>
                <w:lang w:val="en-US"/>
              </w:rPr>
              <w:t>of violations revealed by the results of the field inspection of the Ministry of Energy of Russia of the implementatio</w:t>
            </w:r>
            <w:r w:rsidRPr="00B82940">
              <w:rPr>
                <w:sz w:val="24"/>
                <w:lang w:val="en-US"/>
              </w:rPr>
              <w:t xml:space="preserve">n course of the investment project Reconstruction of 110 kV AL "Elista Zapadnaya - Elista Vostochnaya" with 35 kV AL "Elista Zapadnaya - EPTF" with removal from the </w:t>
            </w:r>
            <w:r w:rsidRPr="00B82940">
              <w:rPr>
                <w:sz w:val="24"/>
                <w:lang w:val="en-US"/>
              </w:rPr>
              <w:lastRenderedPageBreak/>
              <w:t>residential development area of Elista (approximate power transmission line length is 15 km</w:t>
            </w:r>
            <w:r w:rsidRPr="00B82940">
              <w:rPr>
                <w:sz w:val="24"/>
                <w:lang w:val="en-US"/>
              </w:rPr>
              <w:t>)" in accordance with Annex 9 to this resolution of the Company's Board of Directors.</w:t>
            </w:r>
          </w:p>
        </w:tc>
      </w:tr>
      <w:tr w:rsidR="00E908D3" w14:paraId="0D385A87" w14:textId="77777777" w:rsidTr="00B82940">
        <w:trPr>
          <w:trHeight w:val="20"/>
        </w:trPr>
        <w:tc>
          <w:tcPr>
            <w:tcW w:w="5000" w:type="pct"/>
            <w:gridSpan w:val="7"/>
          </w:tcPr>
          <w:p w14:paraId="6D811CBC" w14:textId="77777777" w:rsidR="00D3444B" w:rsidRPr="00B82940" w:rsidRDefault="00A24793" w:rsidP="00B82940">
            <w:pPr>
              <w:pStyle w:val="TableParagraph"/>
              <w:ind w:left="0"/>
              <w:jc w:val="both"/>
              <w:rPr>
                <w:b/>
                <w:sz w:val="24"/>
              </w:rPr>
            </w:pPr>
            <w:r w:rsidRPr="00B82940">
              <w:rPr>
                <w:b/>
                <w:sz w:val="24"/>
                <w:lang w:val="en-US"/>
              </w:rPr>
              <w:lastRenderedPageBreak/>
              <w:t xml:space="preserve">Insider information disclosure on issue No. 9: On approval of the Report on Implementation of Key Performance Indicator (KPIs) of the General Director of the </w:t>
            </w:r>
            <w:r w:rsidRPr="00B82940">
              <w:rPr>
                <w:b/>
                <w:sz w:val="24"/>
                <w:lang w:val="en-US"/>
              </w:rPr>
              <w:t>Company for Q4 2018.</w:t>
            </w:r>
          </w:p>
        </w:tc>
      </w:tr>
      <w:tr w:rsidR="00E908D3" w14:paraId="44843F5B" w14:textId="77777777" w:rsidTr="00B82940">
        <w:trPr>
          <w:trHeight w:val="20"/>
        </w:trPr>
        <w:tc>
          <w:tcPr>
            <w:tcW w:w="5000" w:type="pct"/>
            <w:gridSpan w:val="7"/>
          </w:tcPr>
          <w:p w14:paraId="45F594D4" w14:textId="77777777" w:rsidR="00D3444B" w:rsidRPr="00B82940" w:rsidRDefault="00A24793" w:rsidP="00B82940">
            <w:pPr>
              <w:pStyle w:val="TableParagraph"/>
              <w:ind w:left="0"/>
              <w:jc w:val="both"/>
              <w:rPr>
                <w:sz w:val="24"/>
              </w:rPr>
            </w:pPr>
            <w:r w:rsidRPr="00B82940">
              <w:rPr>
                <w:sz w:val="24"/>
                <w:lang w:val="en-US"/>
              </w:rPr>
              <w:t>2.2.9. Resolution content adopted by the Issuer's Board of Directors:</w:t>
            </w:r>
          </w:p>
          <w:p w14:paraId="795B7429" w14:textId="77777777" w:rsidR="00D3444B" w:rsidRPr="00B82940" w:rsidRDefault="00A24793" w:rsidP="00B82940">
            <w:pPr>
              <w:pStyle w:val="TableParagraph"/>
              <w:tabs>
                <w:tab w:val="left" w:pos="1880"/>
                <w:tab w:val="left" w:pos="2695"/>
                <w:tab w:val="left" w:pos="3019"/>
                <w:tab w:val="left" w:pos="4489"/>
                <w:tab w:val="left" w:pos="5731"/>
                <w:tab w:val="left" w:pos="7177"/>
                <w:tab w:val="left" w:pos="8954"/>
              </w:tabs>
              <w:ind w:left="0" w:firstLine="453"/>
              <w:jc w:val="both"/>
              <w:rPr>
                <w:sz w:val="24"/>
              </w:rPr>
            </w:pPr>
            <w:r w:rsidRPr="00B82940">
              <w:rPr>
                <w:sz w:val="24"/>
                <w:lang w:val="en-US"/>
              </w:rPr>
              <w:t>Approve the Report on Implementation of Key Performance Indicators (KPIs) of the General Director of the Company for Q4 2018 in accordance with Annex 10 to this res</w:t>
            </w:r>
            <w:r w:rsidRPr="00B82940">
              <w:rPr>
                <w:sz w:val="24"/>
                <w:lang w:val="en-US"/>
              </w:rPr>
              <w:t>olution of the Company's Board of Directors.</w:t>
            </w:r>
          </w:p>
        </w:tc>
      </w:tr>
      <w:tr w:rsidR="00E908D3" w14:paraId="52918096" w14:textId="77777777" w:rsidTr="00B82940">
        <w:trPr>
          <w:trHeight w:val="20"/>
        </w:trPr>
        <w:tc>
          <w:tcPr>
            <w:tcW w:w="5000" w:type="pct"/>
            <w:gridSpan w:val="7"/>
          </w:tcPr>
          <w:p w14:paraId="207F66A5" w14:textId="77777777" w:rsidR="00D3444B" w:rsidRPr="00B82940" w:rsidRDefault="00A24793" w:rsidP="00B82940">
            <w:pPr>
              <w:pStyle w:val="TableParagraph"/>
              <w:ind w:left="0"/>
              <w:jc w:val="both"/>
              <w:rPr>
                <w:b/>
                <w:sz w:val="24"/>
              </w:rPr>
            </w:pPr>
            <w:r w:rsidRPr="00B82940">
              <w:rPr>
                <w:b/>
                <w:sz w:val="24"/>
                <w:lang w:val="en-US"/>
              </w:rPr>
              <w:t>Insider information disclosure on issue No. 10: On approval of the budgets of the committees of the Board of Directors of IDGC of the South, PJSC for the 2nd half of 2019.</w:t>
            </w:r>
          </w:p>
        </w:tc>
      </w:tr>
      <w:tr w:rsidR="00E908D3" w14:paraId="1BFB3E15" w14:textId="77777777" w:rsidTr="00B82940">
        <w:trPr>
          <w:trHeight w:val="20"/>
        </w:trPr>
        <w:tc>
          <w:tcPr>
            <w:tcW w:w="5000" w:type="pct"/>
            <w:gridSpan w:val="7"/>
          </w:tcPr>
          <w:p w14:paraId="32FEE09F" w14:textId="77777777" w:rsidR="00D3444B" w:rsidRPr="00B82940" w:rsidRDefault="00A24793" w:rsidP="00B82940">
            <w:pPr>
              <w:pStyle w:val="TableParagraph"/>
              <w:ind w:left="0"/>
              <w:jc w:val="both"/>
              <w:rPr>
                <w:sz w:val="24"/>
              </w:rPr>
            </w:pPr>
            <w:r w:rsidRPr="00B82940">
              <w:rPr>
                <w:sz w:val="24"/>
                <w:lang w:val="en-US"/>
              </w:rPr>
              <w:t>2.2.10. Resolution content adopted by</w:t>
            </w:r>
            <w:r w:rsidRPr="00B82940">
              <w:rPr>
                <w:sz w:val="24"/>
                <w:lang w:val="en-US"/>
              </w:rPr>
              <w:t xml:space="preserve"> the Issuer's Board of Directors:</w:t>
            </w:r>
          </w:p>
          <w:p w14:paraId="76FBFD57" w14:textId="77777777" w:rsidR="00D3444B" w:rsidRPr="00B82940" w:rsidRDefault="00A24793" w:rsidP="00B82940">
            <w:pPr>
              <w:pStyle w:val="TableParagraph"/>
              <w:numPr>
                <w:ilvl w:val="0"/>
                <w:numId w:val="3"/>
              </w:numPr>
              <w:tabs>
                <w:tab w:val="left" w:pos="735"/>
              </w:tabs>
              <w:ind w:left="0" w:firstLine="453"/>
              <w:jc w:val="both"/>
              <w:rPr>
                <w:sz w:val="24"/>
              </w:rPr>
            </w:pPr>
            <w:r w:rsidRPr="00B82940">
              <w:rPr>
                <w:sz w:val="24"/>
                <w:lang w:val="en-US"/>
              </w:rPr>
              <w:t>Approve the budget of the Audit Committee of the Board of Directors of IDGC of the South, PJSC for the second half of 2019 in accordance with Annex No. 11 hereto.</w:t>
            </w:r>
          </w:p>
          <w:p w14:paraId="3C32DAAE" w14:textId="77777777" w:rsidR="00D3444B" w:rsidRPr="00B82940" w:rsidRDefault="00A24793" w:rsidP="00B82940">
            <w:pPr>
              <w:pStyle w:val="TableParagraph"/>
              <w:numPr>
                <w:ilvl w:val="0"/>
                <w:numId w:val="3"/>
              </w:numPr>
              <w:tabs>
                <w:tab w:val="left" w:pos="734"/>
                <w:tab w:val="left" w:pos="735"/>
              </w:tabs>
              <w:ind w:left="0" w:firstLine="453"/>
              <w:jc w:val="both"/>
              <w:rPr>
                <w:sz w:val="24"/>
              </w:rPr>
            </w:pPr>
            <w:r w:rsidRPr="00B82940">
              <w:rPr>
                <w:sz w:val="24"/>
                <w:lang w:val="en-US"/>
              </w:rPr>
              <w:t xml:space="preserve">Approve the budget of the Human Resources and </w:t>
            </w:r>
            <w:r w:rsidRPr="00B82940">
              <w:rPr>
                <w:sz w:val="24"/>
                <w:lang w:val="en-US"/>
              </w:rPr>
              <w:t>Remuneration Committee of the Board of Directors of IDGC of the South, PJSC for the second half of 2019 in accordance with Annex No. 12 hereto.</w:t>
            </w:r>
          </w:p>
          <w:p w14:paraId="05FC2A98" w14:textId="77777777" w:rsidR="00D3444B" w:rsidRPr="00B82940" w:rsidRDefault="00A24793" w:rsidP="00B82940">
            <w:pPr>
              <w:pStyle w:val="TableParagraph"/>
              <w:numPr>
                <w:ilvl w:val="0"/>
                <w:numId w:val="3"/>
              </w:numPr>
              <w:tabs>
                <w:tab w:val="left" w:pos="734"/>
                <w:tab w:val="left" w:pos="735"/>
              </w:tabs>
              <w:ind w:left="0" w:firstLine="453"/>
              <w:jc w:val="both"/>
              <w:rPr>
                <w:sz w:val="24"/>
              </w:rPr>
            </w:pPr>
            <w:r w:rsidRPr="00B82940">
              <w:rPr>
                <w:sz w:val="24"/>
                <w:lang w:val="en-US"/>
              </w:rPr>
              <w:t>Approve the budget of the Strategy Committee of the Board of Directors of IDGC of the South, PJSC for the second</w:t>
            </w:r>
            <w:r w:rsidRPr="00B82940">
              <w:rPr>
                <w:sz w:val="24"/>
                <w:lang w:val="en-US"/>
              </w:rPr>
              <w:t xml:space="preserve"> half of 2019 in accordance with Annex No. 13 to this resolution of the Company's Board of Directors.</w:t>
            </w:r>
          </w:p>
          <w:p w14:paraId="35FAB37B" w14:textId="77777777" w:rsidR="00D3444B" w:rsidRPr="00B82940" w:rsidRDefault="00A24793" w:rsidP="00B82940">
            <w:pPr>
              <w:pStyle w:val="TableParagraph"/>
              <w:numPr>
                <w:ilvl w:val="0"/>
                <w:numId w:val="2"/>
              </w:numPr>
              <w:tabs>
                <w:tab w:val="left" w:pos="735"/>
              </w:tabs>
              <w:ind w:left="0" w:firstLine="453"/>
              <w:jc w:val="both"/>
              <w:rPr>
                <w:sz w:val="24"/>
              </w:rPr>
            </w:pPr>
            <w:r w:rsidRPr="00B82940">
              <w:rPr>
                <w:sz w:val="24"/>
                <w:lang w:val="en-US"/>
              </w:rPr>
              <w:t>Approve the budget of the Committee for Technological Connection to Power Grids of the Board of Directors of IDGC of the South, PJSC for the second half o</w:t>
            </w:r>
            <w:r w:rsidRPr="00B82940">
              <w:rPr>
                <w:sz w:val="24"/>
                <w:lang w:val="en-US"/>
              </w:rPr>
              <w:t>f 2019 in accordance with Annex No. 14 to this resolution of the Company's Board of Directors.</w:t>
            </w:r>
          </w:p>
          <w:p w14:paraId="6DC43A3E" w14:textId="77777777" w:rsidR="00D3444B" w:rsidRPr="00B82940" w:rsidRDefault="00A24793" w:rsidP="00B82940">
            <w:pPr>
              <w:pStyle w:val="TableParagraph"/>
              <w:numPr>
                <w:ilvl w:val="0"/>
                <w:numId w:val="2"/>
              </w:numPr>
              <w:tabs>
                <w:tab w:val="left" w:pos="735"/>
              </w:tabs>
              <w:ind w:left="0" w:firstLine="453"/>
              <w:jc w:val="both"/>
              <w:rPr>
                <w:sz w:val="24"/>
              </w:rPr>
            </w:pPr>
            <w:r w:rsidRPr="00B82940">
              <w:rPr>
                <w:sz w:val="24"/>
                <w:lang w:val="en-US"/>
              </w:rPr>
              <w:t>Approve the budget of the Committee for Reliability of the Board of Directors of IDGC of the South, PJSC for the second half of 2019 in accordance with Annex No.</w:t>
            </w:r>
            <w:r w:rsidRPr="00B82940">
              <w:rPr>
                <w:sz w:val="24"/>
                <w:lang w:val="en-US"/>
              </w:rPr>
              <w:t xml:space="preserve"> 15 to this resolution of the Company's Board of Directors.</w:t>
            </w:r>
          </w:p>
        </w:tc>
      </w:tr>
      <w:tr w:rsidR="00E908D3" w14:paraId="7F760C14" w14:textId="77777777" w:rsidTr="00F234FC">
        <w:trPr>
          <w:trHeight w:val="20"/>
        </w:trPr>
        <w:tc>
          <w:tcPr>
            <w:tcW w:w="5000" w:type="pct"/>
            <w:gridSpan w:val="7"/>
            <w:tcBorders>
              <w:bottom w:val="single" w:sz="4" w:space="0" w:color="000000"/>
            </w:tcBorders>
          </w:tcPr>
          <w:p w14:paraId="1089724A" w14:textId="77777777" w:rsidR="00D3444B" w:rsidRPr="00B82940" w:rsidRDefault="00A24793" w:rsidP="00B82940">
            <w:pPr>
              <w:pStyle w:val="TableParagraph"/>
              <w:numPr>
                <w:ilvl w:val="1"/>
                <w:numId w:val="1"/>
              </w:numPr>
              <w:tabs>
                <w:tab w:val="left" w:pos="559"/>
              </w:tabs>
              <w:ind w:left="0" w:firstLine="0"/>
              <w:jc w:val="both"/>
              <w:rPr>
                <w:b/>
                <w:sz w:val="24"/>
              </w:rPr>
            </w:pPr>
            <w:r w:rsidRPr="00B82940">
              <w:rPr>
                <w:sz w:val="24"/>
                <w:lang w:val="en-US"/>
              </w:rPr>
              <w:t xml:space="preserve">Date of the meeting of the Issuer's Board of Directors at which the relevant resolutions were adopted: </w:t>
            </w:r>
            <w:r w:rsidRPr="00B82940">
              <w:rPr>
                <w:b/>
                <w:sz w:val="24"/>
                <w:lang w:val="en-US"/>
              </w:rPr>
              <w:t>November 13, 2019.</w:t>
            </w:r>
          </w:p>
          <w:p w14:paraId="03F23F61" w14:textId="77777777" w:rsidR="00D3444B" w:rsidRPr="00B82940" w:rsidRDefault="00A24793" w:rsidP="00B82940">
            <w:pPr>
              <w:pStyle w:val="TableParagraph"/>
              <w:numPr>
                <w:ilvl w:val="1"/>
                <w:numId w:val="1"/>
              </w:numPr>
              <w:tabs>
                <w:tab w:val="left" w:pos="638"/>
              </w:tabs>
              <w:ind w:left="0" w:firstLine="0"/>
              <w:jc w:val="both"/>
              <w:rPr>
                <w:b/>
                <w:sz w:val="24"/>
              </w:rPr>
            </w:pPr>
            <w:r w:rsidRPr="00B82940">
              <w:rPr>
                <w:sz w:val="24"/>
                <w:lang w:val="en-US"/>
              </w:rPr>
              <w:t>Date and number of the minutes of the meeting of the Issuer's Board of Di</w:t>
            </w:r>
            <w:r w:rsidRPr="00B82940">
              <w:rPr>
                <w:sz w:val="24"/>
                <w:lang w:val="en-US"/>
              </w:rPr>
              <w:t xml:space="preserve">rectors at which the relevant resolutions were adopted: </w:t>
            </w:r>
            <w:r w:rsidRPr="00B82940">
              <w:rPr>
                <w:b/>
                <w:sz w:val="24"/>
                <w:lang w:val="en-US"/>
              </w:rPr>
              <w:t>November 15, 2019, Minutes. No. 341/2019.</w:t>
            </w:r>
          </w:p>
        </w:tc>
      </w:tr>
      <w:tr w:rsidR="00E908D3" w14:paraId="7F762F33" w14:textId="77777777" w:rsidTr="00F23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EBA6308" w14:textId="77777777" w:rsidR="00B82940" w:rsidRDefault="00A24793" w:rsidP="000A6561">
            <w:pPr>
              <w:pStyle w:val="TableParagraph"/>
              <w:ind w:left="0"/>
              <w:jc w:val="center"/>
              <w:rPr>
                <w:sz w:val="24"/>
              </w:rPr>
            </w:pPr>
            <w:r>
              <w:rPr>
                <w:sz w:val="24"/>
                <w:lang w:val="en-US"/>
              </w:rPr>
              <w:t>3. Signature</w:t>
            </w:r>
          </w:p>
        </w:tc>
      </w:tr>
      <w:tr w:rsidR="00E908D3" w14:paraId="608CC29D" w14:textId="77777777" w:rsidTr="00F23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73FDBD1F" w14:textId="77777777" w:rsidR="00B82940" w:rsidRDefault="00A24793" w:rsidP="000A6561">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684D495E" w14:textId="77777777" w:rsidR="00B82940" w:rsidRDefault="00A24793" w:rsidP="000A6561">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780485C5" w14:textId="77777777" w:rsidR="00B82940" w:rsidRDefault="00A24793" w:rsidP="000A6561">
            <w:pPr>
              <w:pStyle w:val="TableParagraph"/>
              <w:tabs>
                <w:tab w:val="left" w:pos="5729"/>
                <w:tab w:val="left" w:pos="5854"/>
                <w:tab w:val="left" w:pos="7224"/>
                <w:tab w:val="left" w:pos="7774"/>
              </w:tabs>
              <w:ind w:left="0"/>
            </w:pPr>
            <w:r>
              <w:rPr>
                <w:sz w:val="24"/>
                <w:lang w:val="en-US"/>
              </w:rPr>
              <w:t>Pavlova E.N.</w:t>
            </w:r>
          </w:p>
        </w:tc>
      </w:tr>
      <w:tr w:rsidR="00E908D3" w14:paraId="606F3AAD"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312D82E" w14:textId="77777777" w:rsidR="00B82940" w:rsidRDefault="00A24793" w:rsidP="000A6561">
            <w:pPr>
              <w:pStyle w:val="TableParagraph"/>
              <w:tabs>
                <w:tab w:val="left" w:pos="5729"/>
                <w:tab w:val="left" w:pos="5854"/>
                <w:tab w:val="left" w:pos="7224"/>
                <w:tab w:val="left" w:pos="7774"/>
              </w:tabs>
              <w:ind w:left="0"/>
              <w:rPr>
                <w:sz w:val="24"/>
              </w:rPr>
            </w:pPr>
          </w:p>
        </w:tc>
        <w:tc>
          <w:tcPr>
            <w:tcW w:w="733" w:type="pct"/>
          </w:tcPr>
          <w:p w14:paraId="54FC19B4" w14:textId="413CE8A8" w:rsidR="00B82940" w:rsidRDefault="00A24793" w:rsidP="000A6561">
            <w:pPr>
              <w:pStyle w:val="TableParagraph"/>
              <w:tabs>
                <w:tab w:val="left" w:pos="5729"/>
                <w:tab w:val="left" w:pos="5854"/>
                <w:tab w:val="left" w:pos="7224"/>
                <w:tab w:val="left" w:pos="7774"/>
              </w:tabs>
              <w:ind w:left="0"/>
            </w:pPr>
            <w:r>
              <w:rPr>
                <w:sz w:val="24"/>
                <w:lang w:val="en-US"/>
              </w:rPr>
              <w:t>(signature) L</w:t>
            </w:r>
            <w:r>
              <w:rPr>
                <w:lang w:val="en-US"/>
              </w:rPr>
              <w:t>.S</w:t>
            </w:r>
            <w:r>
              <w:rPr>
                <w:lang w:val="en-US"/>
              </w:rPr>
              <w:t>.</w:t>
            </w:r>
          </w:p>
        </w:tc>
        <w:tc>
          <w:tcPr>
            <w:tcW w:w="1445" w:type="pct"/>
            <w:tcBorders>
              <w:right w:val="single" w:sz="4" w:space="0" w:color="000000"/>
            </w:tcBorders>
          </w:tcPr>
          <w:p w14:paraId="6672E2AF" w14:textId="77777777" w:rsidR="00B82940" w:rsidRDefault="00A24793" w:rsidP="000A6561">
            <w:pPr>
              <w:pStyle w:val="TableParagraph"/>
              <w:tabs>
                <w:tab w:val="left" w:pos="5729"/>
                <w:tab w:val="left" w:pos="5854"/>
                <w:tab w:val="left" w:pos="7224"/>
                <w:tab w:val="left" w:pos="7774"/>
              </w:tabs>
              <w:ind w:left="0"/>
            </w:pPr>
          </w:p>
        </w:tc>
      </w:tr>
      <w:tr w:rsidR="00E908D3" w14:paraId="20631A94"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62AD64A" w14:textId="77777777" w:rsidR="00B82940" w:rsidRDefault="00A24793" w:rsidP="000A6561">
            <w:pPr>
              <w:pStyle w:val="TableParagraph"/>
              <w:ind w:left="0"/>
              <w:rPr>
                <w:sz w:val="24"/>
              </w:rPr>
            </w:pPr>
            <w:r>
              <w:rPr>
                <w:sz w:val="24"/>
                <w:lang w:val="en-US"/>
              </w:rPr>
              <w:t>3.2. Date</w:t>
            </w:r>
          </w:p>
        </w:tc>
        <w:tc>
          <w:tcPr>
            <w:tcW w:w="467" w:type="pct"/>
            <w:tcBorders>
              <w:bottom w:val="single" w:sz="4" w:space="0" w:color="000000"/>
            </w:tcBorders>
          </w:tcPr>
          <w:p w14:paraId="546BADBF" w14:textId="77777777" w:rsidR="00B82940" w:rsidRPr="00F33787" w:rsidRDefault="00A24793" w:rsidP="00B82940">
            <w:pPr>
              <w:pStyle w:val="TableParagraph"/>
              <w:ind w:left="0"/>
              <w:rPr>
                <w:sz w:val="24"/>
              </w:rPr>
            </w:pPr>
            <w:r w:rsidRPr="00F33787">
              <w:rPr>
                <w:sz w:val="24"/>
                <w:lang w:val="en-US"/>
              </w:rPr>
              <w:t>November</w:t>
            </w:r>
          </w:p>
        </w:tc>
        <w:tc>
          <w:tcPr>
            <w:tcW w:w="668" w:type="pct"/>
            <w:tcBorders>
              <w:bottom w:val="single" w:sz="4" w:space="0" w:color="000000"/>
            </w:tcBorders>
          </w:tcPr>
          <w:p w14:paraId="41F5628F" w14:textId="77777777" w:rsidR="00B82940" w:rsidRPr="00F33787" w:rsidRDefault="00A24793" w:rsidP="000A6561">
            <w:pPr>
              <w:pStyle w:val="TableParagraph"/>
              <w:ind w:left="0"/>
              <w:rPr>
                <w:sz w:val="24"/>
              </w:rPr>
            </w:pPr>
            <w:r w:rsidRPr="00B82940">
              <w:rPr>
                <w:sz w:val="24"/>
                <w:lang w:val="en-US"/>
              </w:rPr>
              <w:t>"15",</w:t>
            </w:r>
          </w:p>
        </w:tc>
        <w:tc>
          <w:tcPr>
            <w:tcW w:w="3233" w:type="pct"/>
            <w:gridSpan w:val="4"/>
            <w:tcBorders>
              <w:bottom w:val="single" w:sz="4" w:space="0" w:color="000000"/>
              <w:right w:val="single" w:sz="4" w:space="0" w:color="000000"/>
            </w:tcBorders>
          </w:tcPr>
          <w:p w14:paraId="7DD2F08C" w14:textId="77777777" w:rsidR="00B82940" w:rsidRPr="00F33787" w:rsidRDefault="00A24793" w:rsidP="000A6561">
            <w:pPr>
              <w:pStyle w:val="TableParagraph"/>
              <w:spacing w:after="120"/>
              <w:ind w:left="0"/>
              <w:rPr>
                <w:sz w:val="24"/>
              </w:rPr>
            </w:pPr>
            <w:r w:rsidRPr="00F33787">
              <w:rPr>
                <w:sz w:val="24"/>
                <w:lang w:val="en-US"/>
              </w:rPr>
              <w:t>2019</w:t>
            </w:r>
          </w:p>
        </w:tc>
      </w:tr>
      <w:bookmarkEnd w:id="0"/>
    </w:tbl>
    <w:p w14:paraId="14FF7304" w14:textId="77777777" w:rsidR="00B82940" w:rsidRDefault="00A24793" w:rsidP="00B82940"/>
    <w:sectPr w:rsidR="00B82940" w:rsidSect="00B82940">
      <w:headerReference w:type="default" r:id="rId10"/>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5DBD" w14:textId="77777777" w:rsidR="00000000" w:rsidRDefault="00A24793">
      <w:r>
        <w:separator/>
      </w:r>
    </w:p>
  </w:endnote>
  <w:endnote w:type="continuationSeparator" w:id="0">
    <w:p w14:paraId="3C888AE3" w14:textId="77777777" w:rsidR="00000000" w:rsidRDefault="00A2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0C5D" w14:textId="77777777" w:rsidR="00000000" w:rsidRDefault="00A24793">
      <w:r>
        <w:separator/>
      </w:r>
    </w:p>
  </w:footnote>
  <w:footnote w:type="continuationSeparator" w:id="0">
    <w:p w14:paraId="32B121C9" w14:textId="77777777" w:rsidR="00000000" w:rsidRDefault="00A2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7386" w14:textId="77777777" w:rsidR="00D3444B" w:rsidRDefault="00A24793" w:rsidP="00B82940">
    <w:pPr>
      <w:pStyle w:val="a5"/>
      <w:jc w:val="right"/>
    </w:pPr>
    <w:r>
      <w:fldChar w:fldCharType="begin"/>
    </w:r>
    <w:r>
      <w:instrText xml:space="preserve"> PAGE   \* MERGEFORMAT </w:instrText>
    </w:r>
    <w:r>
      <w:fldChar w:fldCharType="separate"/>
    </w:r>
    <w:r>
      <w:rPr>
        <w:noProof/>
      </w:rPr>
      <w:t>4</w:t>
    </w:r>
    <w:r>
      <w:rPr>
        <w:noProof/>
      </w:rPr>
      <w:fldChar w:fldCharType="end"/>
    </w:r>
  </w:p>
  <w:p w14:paraId="013BB3E0" w14:textId="77777777" w:rsidR="00B82940" w:rsidRPr="00B82940" w:rsidRDefault="00A24793" w:rsidP="00B8294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35D97"/>
    <w:multiLevelType w:val="multilevel"/>
    <w:tmpl w:val="F3942B36"/>
    <w:lvl w:ilvl="0">
      <w:start w:val="2"/>
      <w:numFmt w:val="decimal"/>
      <w:lvlText w:val="%1"/>
      <w:lvlJc w:val="left"/>
      <w:pPr>
        <w:ind w:left="746" w:hanging="600"/>
        <w:jc w:val="left"/>
      </w:pPr>
      <w:rPr>
        <w:rFonts w:hint="default"/>
        <w:lang w:val="ru-RU" w:eastAsia="ru-RU" w:bidi="ru-RU"/>
      </w:rPr>
    </w:lvl>
    <w:lvl w:ilvl="1">
      <w:start w:val="2"/>
      <w:numFmt w:val="decimal"/>
      <w:lvlText w:val="%1.%2"/>
      <w:lvlJc w:val="left"/>
      <w:pPr>
        <w:ind w:left="746" w:hanging="600"/>
        <w:jc w:val="left"/>
      </w:pPr>
      <w:rPr>
        <w:rFonts w:hint="default"/>
        <w:lang w:val="ru-RU" w:eastAsia="ru-RU" w:bidi="ru-RU"/>
      </w:rPr>
    </w:lvl>
    <w:lvl w:ilvl="2">
      <w:start w:val="2"/>
      <w:numFmt w:val="decimal"/>
      <w:lvlText w:val="%1.%2.%3."/>
      <w:lvlJc w:val="left"/>
      <w:pPr>
        <w:ind w:left="746" w:hanging="600"/>
        <w:jc w:val="left"/>
      </w:pPr>
      <w:rPr>
        <w:rFonts w:ascii="Times New Roman" w:eastAsia="Times New Roman" w:hAnsi="Times New Roman" w:cs="Times New Roman" w:hint="default"/>
        <w:w w:val="100"/>
        <w:sz w:val="24"/>
        <w:szCs w:val="24"/>
        <w:lang w:val="ru-RU" w:eastAsia="ru-RU" w:bidi="ru-RU"/>
      </w:rPr>
    </w:lvl>
    <w:lvl w:ilvl="3">
      <w:start w:val="1"/>
      <w:numFmt w:val="decimal"/>
      <w:lvlText w:val="%4."/>
      <w:lvlJc w:val="left"/>
      <w:pPr>
        <w:ind w:left="26" w:hanging="567"/>
        <w:jc w:val="left"/>
      </w:pPr>
      <w:rPr>
        <w:rFonts w:ascii="Times New Roman" w:eastAsia="Times New Roman" w:hAnsi="Times New Roman" w:cs="Times New Roman" w:hint="default"/>
        <w:spacing w:val="-12"/>
        <w:w w:val="100"/>
        <w:sz w:val="24"/>
        <w:szCs w:val="24"/>
        <w:lang w:val="ru-RU" w:eastAsia="ru-RU" w:bidi="ru-RU"/>
      </w:rPr>
    </w:lvl>
    <w:lvl w:ilvl="4">
      <w:start w:val="1"/>
      <w:numFmt w:val="decimal"/>
      <w:lvlText w:val="%4.%5."/>
      <w:lvlJc w:val="left"/>
      <w:pPr>
        <w:ind w:left="26" w:hanging="627"/>
        <w:jc w:val="left"/>
      </w:pPr>
      <w:rPr>
        <w:rFonts w:ascii="Times New Roman" w:eastAsia="Times New Roman" w:hAnsi="Times New Roman" w:cs="Times New Roman" w:hint="default"/>
        <w:spacing w:val="0"/>
        <w:w w:val="100"/>
        <w:sz w:val="24"/>
        <w:szCs w:val="24"/>
        <w:lang w:val="ru-RU" w:eastAsia="ru-RU" w:bidi="ru-RU"/>
      </w:rPr>
    </w:lvl>
    <w:lvl w:ilvl="5">
      <w:numFmt w:val="bullet"/>
      <w:lvlText w:val="•"/>
      <w:lvlJc w:val="left"/>
      <w:pPr>
        <w:ind w:left="4691" w:hanging="627"/>
      </w:pPr>
      <w:rPr>
        <w:rFonts w:hint="default"/>
        <w:lang w:val="ru-RU" w:eastAsia="ru-RU" w:bidi="ru-RU"/>
      </w:rPr>
    </w:lvl>
    <w:lvl w:ilvl="6">
      <w:numFmt w:val="bullet"/>
      <w:lvlText w:val="•"/>
      <w:lvlJc w:val="left"/>
      <w:pPr>
        <w:ind w:left="5678" w:hanging="627"/>
      </w:pPr>
      <w:rPr>
        <w:rFonts w:hint="default"/>
        <w:lang w:val="ru-RU" w:eastAsia="ru-RU" w:bidi="ru-RU"/>
      </w:rPr>
    </w:lvl>
    <w:lvl w:ilvl="7">
      <w:numFmt w:val="bullet"/>
      <w:lvlText w:val="•"/>
      <w:lvlJc w:val="left"/>
      <w:pPr>
        <w:ind w:left="6666" w:hanging="627"/>
      </w:pPr>
      <w:rPr>
        <w:rFonts w:hint="default"/>
        <w:lang w:val="ru-RU" w:eastAsia="ru-RU" w:bidi="ru-RU"/>
      </w:rPr>
    </w:lvl>
    <w:lvl w:ilvl="8">
      <w:numFmt w:val="bullet"/>
      <w:lvlText w:val="•"/>
      <w:lvlJc w:val="left"/>
      <w:pPr>
        <w:ind w:left="7654" w:hanging="627"/>
      </w:pPr>
      <w:rPr>
        <w:rFonts w:hint="default"/>
        <w:lang w:val="ru-RU" w:eastAsia="ru-RU" w:bidi="ru-RU"/>
      </w:rPr>
    </w:lvl>
  </w:abstractNum>
  <w:abstractNum w:abstractNumId="1" w15:restartNumberingAfterBreak="0">
    <w:nsid w:val="4AF26F22"/>
    <w:multiLevelType w:val="multilevel"/>
    <w:tmpl w:val="5B2405A6"/>
    <w:lvl w:ilvl="0">
      <w:start w:val="2"/>
      <w:numFmt w:val="decimal"/>
      <w:lvlText w:val="%1"/>
      <w:lvlJc w:val="left"/>
      <w:pPr>
        <w:ind w:left="746" w:hanging="600"/>
        <w:jc w:val="left"/>
      </w:pPr>
      <w:rPr>
        <w:rFonts w:hint="default"/>
        <w:lang w:val="ru-RU" w:eastAsia="ru-RU" w:bidi="ru-RU"/>
      </w:rPr>
    </w:lvl>
    <w:lvl w:ilvl="1">
      <w:start w:val="2"/>
      <w:numFmt w:val="decimal"/>
      <w:lvlText w:val="%1.%2"/>
      <w:lvlJc w:val="left"/>
      <w:pPr>
        <w:ind w:left="746" w:hanging="600"/>
        <w:jc w:val="left"/>
      </w:pPr>
      <w:rPr>
        <w:rFonts w:hint="default"/>
        <w:lang w:val="ru-RU" w:eastAsia="ru-RU" w:bidi="ru-RU"/>
      </w:rPr>
    </w:lvl>
    <w:lvl w:ilvl="2">
      <w:start w:val="8"/>
      <w:numFmt w:val="decimal"/>
      <w:lvlText w:val="%1.%2.%3."/>
      <w:lvlJc w:val="left"/>
      <w:pPr>
        <w:ind w:left="746" w:hanging="600"/>
        <w:jc w:val="left"/>
      </w:pPr>
      <w:rPr>
        <w:rFonts w:ascii="Times New Roman" w:eastAsia="Times New Roman" w:hAnsi="Times New Roman" w:cs="Times New Roman" w:hint="default"/>
        <w:w w:val="100"/>
        <w:sz w:val="24"/>
        <w:szCs w:val="24"/>
        <w:lang w:val="ru-RU" w:eastAsia="ru-RU" w:bidi="ru-RU"/>
      </w:rPr>
    </w:lvl>
    <w:lvl w:ilvl="3">
      <w:start w:val="1"/>
      <w:numFmt w:val="decimal"/>
      <w:lvlText w:val="%4."/>
      <w:lvlJc w:val="left"/>
      <w:pPr>
        <w:ind w:left="26" w:hanging="355"/>
        <w:jc w:val="left"/>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3703" w:hanging="355"/>
      </w:pPr>
      <w:rPr>
        <w:rFonts w:hint="default"/>
        <w:lang w:val="ru-RU" w:eastAsia="ru-RU" w:bidi="ru-RU"/>
      </w:rPr>
    </w:lvl>
    <w:lvl w:ilvl="5">
      <w:numFmt w:val="bullet"/>
      <w:lvlText w:val="•"/>
      <w:lvlJc w:val="left"/>
      <w:pPr>
        <w:ind w:left="4691" w:hanging="355"/>
      </w:pPr>
      <w:rPr>
        <w:rFonts w:hint="default"/>
        <w:lang w:val="ru-RU" w:eastAsia="ru-RU" w:bidi="ru-RU"/>
      </w:rPr>
    </w:lvl>
    <w:lvl w:ilvl="6">
      <w:numFmt w:val="bullet"/>
      <w:lvlText w:val="•"/>
      <w:lvlJc w:val="left"/>
      <w:pPr>
        <w:ind w:left="5678" w:hanging="355"/>
      </w:pPr>
      <w:rPr>
        <w:rFonts w:hint="default"/>
        <w:lang w:val="ru-RU" w:eastAsia="ru-RU" w:bidi="ru-RU"/>
      </w:rPr>
    </w:lvl>
    <w:lvl w:ilvl="7">
      <w:numFmt w:val="bullet"/>
      <w:lvlText w:val="•"/>
      <w:lvlJc w:val="left"/>
      <w:pPr>
        <w:ind w:left="6666" w:hanging="355"/>
      </w:pPr>
      <w:rPr>
        <w:rFonts w:hint="default"/>
        <w:lang w:val="ru-RU" w:eastAsia="ru-RU" w:bidi="ru-RU"/>
      </w:rPr>
    </w:lvl>
    <w:lvl w:ilvl="8">
      <w:numFmt w:val="bullet"/>
      <w:lvlText w:val="•"/>
      <w:lvlJc w:val="left"/>
      <w:pPr>
        <w:ind w:left="7654" w:hanging="355"/>
      </w:pPr>
      <w:rPr>
        <w:rFonts w:hint="default"/>
        <w:lang w:val="ru-RU" w:eastAsia="ru-RU" w:bidi="ru-RU"/>
      </w:rPr>
    </w:lvl>
  </w:abstractNum>
  <w:abstractNum w:abstractNumId="2" w15:restartNumberingAfterBreak="0">
    <w:nsid w:val="4B900FC7"/>
    <w:multiLevelType w:val="hybridMultilevel"/>
    <w:tmpl w:val="E7B6E952"/>
    <w:lvl w:ilvl="0" w:tplc="7E5AB49C">
      <w:start w:val="1"/>
      <w:numFmt w:val="decimal"/>
      <w:lvlText w:val="%1."/>
      <w:lvlJc w:val="left"/>
      <w:pPr>
        <w:ind w:left="139" w:hanging="596"/>
        <w:jc w:val="left"/>
      </w:pPr>
      <w:rPr>
        <w:rFonts w:ascii="Times New Roman" w:eastAsia="Times New Roman" w:hAnsi="Times New Roman" w:cs="Times New Roman" w:hint="default"/>
        <w:spacing w:val="-8"/>
        <w:w w:val="100"/>
        <w:sz w:val="24"/>
        <w:szCs w:val="24"/>
        <w:lang w:val="ru-RU" w:eastAsia="ru-RU" w:bidi="ru-RU"/>
      </w:rPr>
    </w:lvl>
    <w:lvl w:ilvl="1" w:tplc="438A6208">
      <w:numFmt w:val="bullet"/>
      <w:lvlText w:val="•"/>
      <w:lvlJc w:val="left"/>
      <w:pPr>
        <w:ind w:left="1089" w:hanging="596"/>
      </w:pPr>
      <w:rPr>
        <w:rFonts w:hint="default"/>
        <w:lang w:val="ru-RU" w:eastAsia="ru-RU" w:bidi="ru-RU"/>
      </w:rPr>
    </w:lvl>
    <w:lvl w:ilvl="2" w:tplc="5EA8C350">
      <w:numFmt w:val="bullet"/>
      <w:lvlText w:val="•"/>
      <w:lvlJc w:val="left"/>
      <w:pPr>
        <w:ind w:left="2038" w:hanging="596"/>
      </w:pPr>
      <w:rPr>
        <w:rFonts w:hint="default"/>
        <w:lang w:val="ru-RU" w:eastAsia="ru-RU" w:bidi="ru-RU"/>
      </w:rPr>
    </w:lvl>
    <w:lvl w:ilvl="3" w:tplc="45D8F4D2">
      <w:numFmt w:val="bullet"/>
      <w:lvlText w:val="•"/>
      <w:lvlJc w:val="left"/>
      <w:pPr>
        <w:ind w:left="2987" w:hanging="596"/>
      </w:pPr>
      <w:rPr>
        <w:rFonts w:hint="default"/>
        <w:lang w:val="ru-RU" w:eastAsia="ru-RU" w:bidi="ru-RU"/>
      </w:rPr>
    </w:lvl>
    <w:lvl w:ilvl="4" w:tplc="DE888772">
      <w:numFmt w:val="bullet"/>
      <w:lvlText w:val="•"/>
      <w:lvlJc w:val="left"/>
      <w:pPr>
        <w:ind w:left="3936" w:hanging="596"/>
      </w:pPr>
      <w:rPr>
        <w:rFonts w:hint="default"/>
        <w:lang w:val="ru-RU" w:eastAsia="ru-RU" w:bidi="ru-RU"/>
      </w:rPr>
    </w:lvl>
    <w:lvl w:ilvl="5" w:tplc="8A00AF30">
      <w:numFmt w:val="bullet"/>
      <w:lvlText w:val="•"/>
      <w:lvlJc w:val="left"/>
      <w:pPr>
        <w:ind w:left="4886" w:hanging="596"/>
      </w:pPr>
      <w:rPr>
        <w:rFonts w:hint="default"/>
        <w:lang w:val="ru-RU" w:eastAsia="ru-RU" w:bidi="ru-RU"/>
      </w:rPr>
    </w:lvl>
    <w:lvl w:ilvl="6" w:tplc="61B032C0">
      <w:numFmt w:val="bullet"/>
      <w:lvlText w:val="•"/>
      <w:lvlJc w:val="left"/>
      <w:pPr>
        <w:ind w:left="5835" w:hanging="596"/>
      </w:pPr>
      <w:rPr>
        <w:rFonts w:hint="default"/>
        <w:lang w:val="ru-RU" w:eastAsia="ru-RU" w:bidi="ru-RU"/>
      </w:rPr>
    </w:lvl>
    <w:lvl w:ilvl="7" w:tplc="6A666322">
      <w:numFmt w:val="bullet"/>
      <w:lvlText w:val="•"/>
      <w:lvlJc w:val="left"/>
      <w:pPr>
        <w:ind w:left="6784" w:hanging="596"/>
      </w:pPr>
      <w:rPr>
        <w:rFonts w:hint="default"/>
        <w:lang w:val="ru-RU" w:eastAsia="ru-RU" w:bidi="ru-RU"/>
      </w:rPr>
    </w:lvl>
    <w:lvl w:ilvl="8" w:tplc="94260C96">
      <w:numFmt w:val="bullet"/>
      <w:lvlText w:val="•"/>
      <w:lvlJc w:val="left"/>
      <w:pPr>
        <w:ind w:left="7733" w:hanging="596"/>
      </w:pPr>
      <w:rPr>
        <w:rFonts w:hint="default"/>
        <w:lang w:val="ru-RU" w:eastAsia="ru-RU" w:bidi="ru-RU"/>
      </w:rPr>
    </w:lvl>
  </w:abstractNum>
  <w:abstractNum w:abstractNumId="3" w15:restartNumberingAfterBreak="0">
    <w:nsid w:val="5CA155EF"/>
    <w:multiLevelType w:val="multilevel"/>
    <w:tmpl w:val="0B7038F0"/>
    <w:lvl w:ilvl="0">
      <w:start w:val="2"/>
      <w:numFmt w:val="decimal"/>
      <w:lvlText w:val="%1"/>
      <w:lvlJc w:val="left"/>
      <w:pPr>
        <w:ind w:left="746" w:hanging="600"/>
        <w:jc w:val="left"/>
      </w:pPr>
      <w:rPr>
        <w:rFonts w:hint="default"/>
        <w:lang w:val="ru-RU" w:eastAsia="ru-RU" w:bidi="ru-RU"/>
      </w:rPr>
    </w:lvl>
    <w:lvl w:ilvl="1">
      <w:start w:val="2"/>
      <w:numFmt w:val="decimal"/>
      <w:lvlText w:val="%1.%2"/>
      <w:lvlJc w:val="left"/>
      <w:pPr>
        <w:ind w:left="746" w:hanging="600"/>
        <w:jc w:val="left"/>
      </w:pPr>
      <w:rPr>
        <w:rFonts w:hint="default"/>
        <w:lang w:val="ru-RU" w:eastAsia="ru-RU" w:bidi="ru-RU"/>
      </w:rPr>
    </w:lvl>
    <w:lvl w:ilvl="2">
      <w:start w:val="1"/>
      <w:numFmt w:val="decimal"/>
      <w:lvlText w:val="%1.%2.%3."/>
      <w:lvlJc w:val="left"/>
      <w:pPr>
        <w:ind w:left="746" w:hanging="600"/>
        <w:jc w:val="left"/>
      </w:pPr>
      <w:rPr>
        <w:rFonts w:ascii="Times New Roman" w:eastAsia="Times New Roman" w:hAnsi="Times New Roman" w:cs="Times New Roman" w:hint="default"/>
        <w:w w:val="100"/>
        <w:sz w:val="24"/>
        <w:szCs w:val="24"/>
        <w:lang w:val="ru-RU" w:eastAsia="ru-RU" w:bidi="ru-RU"/>
      </w:rPr>
    </w:lvl>
    <w:lvl w:ilvl="3">
      <w:start w:val="1"/>
      <w:numFmt w:val="decimal"/>
      <w:lvlText w:val="%4."/>
      <w:lvlJc w:val="left"/>
      <w:pPr>
        <w:ind w:left="26" w:hanging="567"/>
        <w:jc w:val="left"/>
      </w:pPr>
      <w:rPr>
        <w:rFonts w:ascii="Times New Roman" w:eastAsia="Times New Roman" w:hAnsi="Times New Roman" w:cs="Times New Roman" w:hint="default"/>
        <w:spacing w:val="-22"/>
        <w:w w:val="100"/>
        <w:sz w:val="24"/>
        <w:szCs w:val="24"/>
        <w:lang w:val="ru-RU" w:eastAsia="ru-RU" w:bidi="ru-RU"/>
      </w:rPr>
    </w:lvl>
    <w:lvl w:ilvl="4">
      <w:start w:val="1"/>
      <w:numFmt w:val="decimal"/>
      <w:lvlText w:val="%4.%5."/>
      <w:lvlJc w:val="left"/>
      <w:pPr>
        <w:ind w:left="26" w:hanging="567"/>
        <w:jc w:val="left"/>
      </w:pPr>
      <w:rPr>
        <w:rFonts w:ascii="Times New Roman" w:eastAsia="Times New Roman" w:hAnsi="Times New Roman" w:cs="Times New Roman" w:hint="default"/>
        <w:spacing w:val="0"/>
        <w:w w:val="100"/>
        <w:sz w:val="24"/>
        <w:szCs w:val="24"/>
        <w:lang w:val="ru-RU" w:eastAsia="ru-RU" w:bidi="ru-RU"/>
      </w:rPr>
    </w:lvl>
    <w:lvl w:ilvl="5">
      <w:numFmt w:val="bullet"/>
      <w:lvlText w:val="•"/>
      <w:lvlJc w:val="left"/>
      <w:pPr>
        <w:ind w:left="4691" w:hanging="567"/>
      </w:pPr>
      <w:rPr>
        <w:rFonts w:hint="default"/>
        <w:lang w:val="ru-RU" w:eastAsia="ru-RU" w:bidi="ru-RU"/>
      </w:rPr>
    </w:lvl>
    <w:lvl w:ilvl="6">
      <w:numFmt w:val="bullet"/>
      <w:lvlText w:val="•"/>
      <w:lvlJc w:val="left"/>
      <w:pPr>
        <w:ind w:left="5678" w:hanging="567"/>
      </w:pPr>
      <w:rPr>
        <w:rFonts w:hint="default"/>
        <w:lang w:val="ru-RU" w:eastAsia="ru-RU" w:bidi="ru-RU"/>
      </w:rPr>
    </w:lvl>
    <w:lvl w:ilvl="7">
      <w:numFmt w:val="bullet"/>
      <w:lvlText w:val="•"/>
      <w:lvlJc w:val="left"/>
      <w:pPr>
        <w:ind w:left="6666" w:hanging="567"/>
      </w:pPr>
      <w:rPr>
        <w:rFonts w:hint="default"/>
        <w:lang w:val="ru-RU" w:eastAsia="ru-RU" w:bidi="ru-RU"/>
      </w:rPr>
    </w:lvl>
    <w:lvl w:ilvl="8">
      <w:numFmt w:val="bullet"/>
      <w:lvlText w:val="•"/>
      <w:lvlJc w:val="left"/>
      <w:pPr>
        <w:ind w:left="7654" w:hanging="567"/>
      </w:pPr>
      <w:rPr>
        <w:rFonts w:hint="default"/>
        <w:lang w:val="ru-RU" w:eastAsia="ru-RU" w:bidi="ru-RU"/>
      </w:rPr>
    </w:lvl>
  </w:abstractNum>
  <w:abstractNum w:abstractNumId="4" w15:restartNumberingAfterBreak="0">
    <w:nsid w:val="5E647F69"/>
    <w:multiLevelType w:val="hybridMultilevel"/>
    <w:tmpl w:val="5DC272D4"/>
    <w:lvl w:ilvl="0" w:tplc="CB900F4E">
      <w:start w:val="4"/>
      <w:numFmt w:val="decimal"/>
      <w:lvlText w:val="%1."/>
      <w:lvlJc w:val="left"/>
      <w:pPr>
        <w:ind w:left="139" w:hanging="596"/>
        <w:jc w:val="left"/>
      </w:pPr>
      <w:rPr>
        <w:rFonts w:ascii="Times New Roman" w:eastAsia="Times New Roman" w:hAnsi="Times New Roman" w:cs="Times New Roman" w:hint="default"/>
        <w:spacing w:val="-8"/>
        <w:w w:val="100"/>
        <w:sz w:val="24"/>
        <w:szCs w:val="24"/>
        <w:lang w:val="ru-RU" w:eastAsia="ru-RU" w:bidi="ru-RU"/>
      </w:rPr>
    </w:lvl>
    <w:lvl w:ilvl="1" w:tplc="968E5264">
      <w:numFmt w:val="bullet"/>
      <w:lvlText w:val="•"/>
      <w:lvlJc w:val="left"/>
      <w:pPr>
        <w:ind w:left="1089" w:hanging="596"/>
      </w:pPr>
      <w:rPr>
        <w:rFonts w:hint="default"/>
        <w:lang w:val="ru-RU" w:eastAsia="ru-RU" w:bidi="ru-RU"/>
      </w:rPr>
    </w:lvl>
    <w:lvl w:ilvl="2" w:tplc="3BCC77C0">
      <w:numFmt w:val="bullet"/>
      <w:lvlText w:val="•"/>
      <w:lvlJc w:val="left"/>
      <w:pPr>
        <w:ind w:left="2038" w:hanging="596"/>
      </w:pPr>
      <w:rPr>
        <w:rFonts w:hint="default"/>
        <w:lang w:val="ru-RU" w:eastAsia="ru-RU" w:bidi="ru-RU"/>
      </w:rPr>
    </w:lvl>
    <w:lvl w:ilvl="3" w:tplc="82A44D5E">
      <w:numFmt w:val="bullet"/>
      <w:lvlText w:val="•"/>
      <w:lvlJc w:val="left"/>
      <w:pPr>
        <w:ind w:left="2987" w:hanging="596"/>
      </w:pPr>
      <w:rPr>
        <w:rFonts w:hint="default"/>
        <w:lang w:val="ru-RU" w:eastAsia="ru-RU" w:bidi="ru-RU"/>
      </w:rPr>
    </w:lvl>
    <w:lvl w:ilvl="4" w:tplc="A1468CF6">
      <w:numFmt w:val="bullet"/>
      <w:lvlText w:val="•"/>
      <w:lvlJc w:val="left"/>
      <w:pPr>
        <w:ind w:left="3936" w:hanging="596"/>
      </w:pPr>
      <w:rPr>
        <w:rFonts w:hint="default"/>
        <w:lang w:val="ru-RU" w:eastAsia="ru-RU" w:bidi="ru-RU"/>
      </w:rPr>
    </w:lvl>
    <w:lvl w:ilvl="5" w:tplc="354297DA">
      <w:numFmt w:val="bullet"/>
      <w:lvlText w:val="•"/>
      <w:lvlJc w:val="left"/>
      <w:pPr>
        <w:ind w:left="4886" w:hanging="596"/>
      </w:pPr>
      <w:rPr>
        <w:rFonts w:hint="default"/>
        <w:lang w:val="ru-RU" w:eastAsia="ru-RU" w:bidi="ru-RU"/>
      </w:rPr>
    </w:lvl>
    <w:lvl w:ilvl="6" w:tplc="338C1128">
      <w:numFmt w:val="bullet"/>
      <w:lvlText w:val="•"/>
      <w:lvlJc w:val="left"/>
      <w:pPr>
        <w:ind w:left="5835" w:hanging="596"/>
      </w:pPr>
      <w:rPr>
        <w:rFonts w:hint="default"/>
        <w:lang w:val="ru-RU" w:eastAsia="ru-RU" w:bidi="ru-RU"/>
      </w:rPr>
    </w:lvl>
    <w:lvl w:ilvl="7" w:tplc="7F7641C2">
      <w:numFmt w:val="bullet"/>
      <w:lvlText w:val="•"/>
      <w:lvlJc w:val="left"/>
      <w:pPr>
        <w:ind w:left="6784" w:hanging="596"/>
      </w:pPr>
      <w:rPr>
        <w:rFonts w:hint="default"/>
        <w:lang w:val="ru-RU" w:eastAsia="ru-RU" w:bidi="ru-RU"/>
      </w:rPr>
    </w:lvl>
    <w:lvl w:ilvl="8" w:tplc="12AA6C96">
      <w:numFmt w:val="bullet"/>
      <w:lvlText w:val="•"/>
      <w:lvlJc w:val="left"/>
      <w:pPr>
        <w:ind w:left="7733" w:hanging="596"/>
      </w:pPr>
      <w:rPr>
        <w:rFonts w:hint="default"/>
        <w:lang w:val="ru-RU" w:eastAsia="ru-RU" w:bidi="ru-RU"/>
      </w:rPr>
    </w:lvl>
  </w:abstractNum>
  <w:abstractNum w:abstractNumId="5" w15:restartNumberingAfterBreak="0">
    <w:nsid w:val="6B921131"/>
    <w:multiLevelType w:val="multilevel"/>
    <w:tmpl w:val="B2FE54FC"/>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6" w:hanging="420"/>
      </w:pPr>
      <w:rPr>
        <w:rFonts w:hint="default"/>
        <w:lang w:val="ru-RU" w:eastAsia="ru-RU" w:bidi="ru-RU"/>
      </w:rPr>
    </w:lvl>
    <w:lvl w:ilvl="6">
      <w:numFmt w:val="bullet"/>
      <w:lvlText w:val="•"/>
      <w:lvlJc w:val="left"/>
      <w:pPr>
        <w:ind w:left="5835" w:hanging="420"/>
      </w:pPr>
      <w:rPr>
        <w:rFonts w:hint="default"/>
        <w:lang w:val="ru-RU" w:eastAsia="ru-RU" w:bidi="ru-RU"/>
      </w:rPr>
    </w:lvl>
    <w:lvl w:ilvl="7">
      <w:numFmt w:val="bullet"/>
      <w:lvlText w:val="•"/>
      <w:lvlJc w:val="left"/>
      <w:pPr>
        <w:ind w:left="6784" w:hanging="420"/>
      </w:pPr>
      <w:rPr>
        <w:rFonts w:hint="default"/>
        <w:lang w:val="ru-RU" w:eastAsia="ru-RU" w:bidi="ru-RU"/>
      </w:rPr>
    </w:lvl>
    <w:lvl w:ilvl="8">
      <w:numFmt w:val="bullet"/>
      <w:lvlText w:val="•"/>
      <w:lvlJc w:val="left"/>
      <w:pPr>
        <w:ind w:left="7733" w:hanging="420"/>
      </w:pPr>
      <w:rPr>
        <w:rFonts w:hint="default"/>
        <w:lang w:val="ru-RU" w:eastAsia="ru-RU" w:bidi="ru-RU"/>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08D3"/>
    <w:rsid w:val="00A24793"/>
    <w:rsid w:val="00E9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4D74"/>
  <w15:docId w15:val="{AB5CFE22-6EB1-45E9-AD44-91E7B770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3444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3444B"/>
    <w:tblPr>
      <w:tblInd w:w="0" w:type="dxa"/>
      <w:tblCellMar>
        <w:top w:w="0" w:type="dxa"/>
        <w:left w:w="0" w:type="dxa"/>
        <w:bottom w:w="0" w:type="dxa"/>
        <w:right w:w="0" w:type="dxa"/>
      </w:tblCellMar>
    </w:tblPr>
  </w:style>
  <w:style w:type="paragraph" w:styleId="a3">
    <w:name w:val="Body Text"/>
    <w:basedOn w:val="a"/>
    <w:uiPriority w:val="1"/>
    <w:qFormat/>
    <w:rsid w:val="00D3444B"/>
    <w:rPr>
      <w:b/>
      <w:bCs/>
      <w:sz w:val="24"/>
      <w:szCs w:val="24"/>
    </w:rPr>
  </w:style>
  <w:style w:type="paragraph" w:styleId="a4">
    <w:name w:val="List Paragraph"/>
    <w:basedOn w:val="a"/>
    <w:uiPriority w:val="1"/>
    <w:qFormat/>
    <w:rsid w:val="00D3444B"/>
  </w:style>
  <w:style w:type="paragraph" w:customStyle="1" w:styleId="TableParagraph">
    <w:name w:val="Table Paragraph"/>
    <w:basedOn w:val="a"/>
    <w:uiPriority w:val="1"/>
    <w:qFormat/>
    <w:rsid w:val="00D3444B"/>
    <w:pPr>
      <w:ind w:left="167"/>
    </w:pPr>
  </w:style>
  <w:style w:type="paragraph" w:styleId="a5">
    <w:name w:val="header"/>
    <w:basedOn w:val="a"/>
    <w:link w:val="a6"/>
    <w:uiPriority w:val="99"/>
    <w:semiHidden/>
    <w:unhideWhenUsed/>
    <w:rsid w:val="00B82940"/>
    <w:pPr>
      <w:tabs>
        <w:tab w:val="center" w:pos="4677"/>
        <w:tab w:val="right" w:pos="9355"/>
      </w:tabs>
    </w:pPr>
  </w:style>
  <w:style w:type="character" w:customStyle="1" w:styleId="a6">
    <w:name w:val="Верхний колонтитул Знак"/>
    <w:basedOn w:val="a0"/>
    <w:link w:val="a5"/>
    <w:uiPriority w:val="99"/>
    <w:semiHidden/>
    <w:rsid w:val="00B8294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B82940"/>
    <w:pPr>
      <w:tabs>
        <w:tab w:val="center" w:pos="4677"/>
        <w:tab w:val="right" w:pos="9355"/>
      </w:tabs>
    </w:pPr>
  </w:style>
  <w:style w:type="character" w:customStyle="1" w:styleId="a8">
    <w:name w:val="Нижний колонтитул Знак"/>
    <w:basedOn w:val="a0"/>
    <w:link w:val="a7"/>
    <w:uiPriority w:val="99"/>
    <w:semiHidden/>
    <w:rsid w:val="00B8294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2019-12-28T21:05:00Z</dcterms:created>
  <dcterms:modified xsi:type="dcterms:W3CDTF">2020-01-20T13:44:00Z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2016</vt:lpwstr>
  </property>
  <property fmtid="{D5CDD505-2E9C-101B-9397-08002B2CF9AE}" pid="4" name="LastSaved">
    <vt:filetime>2019-12-28T00:00:00Z</vt:filetime>
  </property>
</Properties>
</file>